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1C" w:rsidRDefault="002B2F1C" w:rsidP="002B2F1C">
      <w:pPr>
        <w:pStyle w:val="BodyText"/>
        <w:rPr>
          <w:lang w:val="en-GB"/>
        </w:rPr>
      </w:pPr>
      <w:proofErr w:type="gramStart"/>
      <w:r w:rsidRPr="00427FE4">
        <w:rPr>
          <w:b/>
          <w:lang w:val="en-GB"/>
        </w:rPr>
        <w:t>Appendix S2.</w:t>
      </w:r>
      <w:proofErr w:type="gramEnd"/>
      <w:r w:rsidRPr="00427FE4">
        <w:rPr>
          <w:b/>
          <w:lang w:val="en-GB"/>
        </w:rPr>
        <w:t xml:space="preserve"> </w:t>
      </w:r>
      <w:r w:rsidRPr="00427FE4">
        <w:rPr>
          <w:b/>
          <w:lang w:val="en-GB"/>
        </w:rPr>
        <w:tab/>
      </w:r>
      <w:proofErr w:type="gramStart"/>
      <w:r w:rsidRPr="00427FE4">
        <w:rPr>
          <w:lang w:val="en-GB"/>
        </w:rPr>
        <w:t>Goodness-of-fit test for multi-season multi-species occupancy models.</w:t>
      </w:r>
      <w:proofErr w:type="gramEnd"/>
    </w:p>
    <w:p w:rsidR="002B2F1C" w:rsidRDefault="002B2F1C" w:rsidP="00A73390">
      <w:pPr>
        <w:pStyle w:val="BodyText"/>
        <w:rPr>
          <w:lang w:eastAsia="de-DE"/>
        </w:rPr>
      </w:pPr>
    </w:p>
    <w:p w:rsidR="00A73390" w:rsidRDefault="00A73390" w:rsidP="00A73390">
      <w:pPr>
        <w:pStyle w:val="BodyText"/>
        <w:rPr>
          <w:lang w:eastAsia="de-DE"/>
        </w:rPr>
      </w:pPr>
      <w:r>
        <w:rPr>
          <w:lang w:eastAsia="de-DE"/>
        </w:rPr>
        <w:t xml:space="preserve">We assessed model fit using a the Bayesian </w:t>
      </w:r>
      <w:r w:rsidRPr="00056F5E">
        <w:rPr>
          <w:i/>
          <w:lang w:eastAsia="de-DE"/>
        </w:rPr>
        <w:t>p</w:t>
      </w:r>
      <w:r>
        <w:rPr>
          <w:lang w:eastAsia="de-DE"/>
        </w:rPr>
        <w:t xml:space="preserve">-value </w:t>
      </w:r>
      <w:r w:rsidR="00125AB8">
        <w:rPr>
          <w:lang w:eastAsia="de-DE"/>
        </w:rPr>
        <w:fldChar w:fldCharType="begin"/>
      </w:r>
      <w:r w:rsidR="00056F5E">
        <w:rPr>
          <w:lang w:eastAsia="de-DE"/>
        </w:rPr>
        <w:instrText xml:space="preserve"> ADDIN EN.CITE &lt;EndNote&gt;&lt;Cite&gt;&lt;Author&gt;Gelman&lt;/Author&gt;&lt;Year&gt;1996&lt;/Year&gt;&lt;RecNum&gt;4745&lt;/RecNum&gt;&lt;DisplayText&gt;(Gelman, Meng &amp;amp; Stern 1996)&lt;/DisplayText&gt;&lt;record&gt;&lt;rec-number&gt;4745&lt;/rec-number&gt;&lt;foreign-keys&gt;&lt;key app="EN" db-id="dzrsr2ee6fvvfcepxsbp2axttx0zwexe5r5d"&gt;4745&lt;/key&gt;&lt;/foreign-keys&gt;&lt;ref-type name="Journal Article"&gt;17&lt;/ref-type&gt;&lt;contributors&gt;&lt;authors&gt;&lt;author&gt;Gelman, Andrew&lt;/author&gt;&lt;author&gt;Meng, Xiao-Li&lt;/author&gt;&lt;author&gt;Stern, Hal&lt;/author&gt;&lt;/authors&gt;&lt;/contributors&gt;&lt;titles&gt;&lt;title&gt;Posterior predictive assessment of model fitness via realized discrepancies&lt;/title&gt;&lt;secondary-title&gt;Statistica Sinica&lt;/secondary-title&gt;&lt;/titles&gt;&lt;periodical&gt;&lt;full-title&gt;Statistica Sinica&lt;/full-title&gt;&lt;abbr-1&gt;Stat Sinica&lt;/abbr-1&gt;&lt;/periodical&gt;&lt;pages&gt;733-760&lt;/pages&gt;&lt;volume&gt;6&lt;/volume&gt;&lt;number&gt;4&lt;/number&gt;&lt;dates&gt;&lt;year&gt;1996&lt;/year&gt;&lt;/dates&gt;&lt;isbn&gt;1017-0405&lt;/isbn&gt;&lt;urls&gt;&lt;/urls&gt;&lt;/record&gt;&lt;/Cite&gt;&lt;/EndNote&gt;</w:instrText>
      </w:r>
      <w:r w:rsidR="00125AB8">
        <w:rPr>
          <w:lang w:eastAsia="de-DE"/>
        </w:rPr>
        <w:fldChar w:fldCharType="separate"/>
      </w:r>
      <w:r w:rsidR="00056F5E">
        <w:rPr>
          <w:noProof/>
          <w:lang w:eastAsia="de-DE"/>
        </w:rPr>
        <w:t>(</w:t>
      </w:r>
      <w:hyperlink w:anchor="_ENREF_1" w:tooltip="Gelman, 1996 #4745" w:history="1">
        <w:r w:rsidR="00056F5E">
          <w:rPr>
            <w:noProof/>
            <w:lang w:eastAsia="de-DE"/>
          </w:rPr>
          <w:t>Gelman, Meng &amp; Stern 1996</w:t>
        </w:r>
      </w:hyperlink>
      <w:r w:rsidR="00056F5E">
        <w:rPr>
          <w:noProof/>
          <w:lang w:eastAsia="de-DE"/>
        </w:rPr>
        <w:t>)</w:t>
      </w:r>
      <w:r w:rsidR="00125AB8">
        <w:rPr>
          <w:lang w:eastAsia="de-DE"/>
        </w:rPr>
        <w:fldChar w:fldCharType="end"/>
      </w:r>
      <w:r w:rsidR="00125AB8">
        <w:rPr>
          <w:lang w:eastAsia="de-DE"/>
        </w:rPr>
        <w:t xml:space="preserve"> based on the Pe</w:t>
      </w:r>
      <w:r w:rsidR="006A5F22">
        <w:rPr>
          <w:lang w:eastAsia="de-DE"/>
        </w:rPr>
        <w:t>a</w:t>
      </w:r>
      <w:r w:rsidR="00125AB8">
        <w:rPr>
          <w:lang w:eastAsia="de-DE"/>
        </w:rPr>
        <w:t xml:space="preserve">rson’s </w:t>
      </w:r>
      <w:r w:rsidR="00125AB8" w:rsidRPr="00125AB8">
        <w:rPr>
          <w:i/>
          <w:lang w:eastAsia="de-DE"/>
        </w:rPr>
        <w:t>χ</w:t>
      </w:r>
      <w:r w:rsidR="00125AB8" w:rsidRPr="00125AB8">
        <w:rPr>
          <w:i/>
          <w:vertAlign w:val="superscript"/>
          <w:lang w:eastAsia="de-DE"/>
        </w:rPr>
        <w:t>2</w:t>
      </w:r>
      <w:r w:rsidR="001A52AC">
        <w:rPr>
          <w:lang w:eastAsia="de-DE"/>
        </w:rPr>
        <w:t xml:space="preserve"> discrepancy </w:t>
      </w:r>
      <w:r w:rsidR="00125AB8">
        <w:rPr>
          <w:lang w:eastAsia="de-DE"/>
        </w:rPr>
        <w:t xml:space="preserve">for binomial data.  </w:t>
      </w:r>
      <w:r>
        <w:rPr>
          <w:lang w:eastAsia="de-DE"/>
        </w:rPr>
        <w:t xml:space="preserve"> </w:t>
      </w:r>
    </w:p>
    <w:p w:rsidR="00125AB8" w:rsidRDefault="00125AB8" w:rsidP="00A73390">
      <w:pPr>
        <w:pStyle w:val="BodyText"/>
        <w:rPr>
          <w:lang w:eastAsia="de-DE"/>
        </w:rPr>
      </w:pPr>
    </w:p>
    <w:p w:rsidR="00125AB8" w:rsidRPr="00A73390" w:rsidRDefault="00F76DA6" w:rsidP="00A73390">
      <w:pPr>
        <w:pStyle w:val="BodyText"/>
        <w:rPr>
          <w:lang w:eastAsia="de-D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de-DE"/>
                </w:rPr>
              </m:ctrlPr>
            </m:sSupPr>
            <m:e>
              <m:r>
                <w:rPr>
                  <w:rFonts w:ascii="Cambria Math" w:hAnsi="Cambria Math"/>
                  <w:lang w:eastAsia="de-DE"/>
                </w:rPr>
                <m:t>χ</m:t>
              </m:r>
            </m:e>
            <m:sup>
              <m:r>
                <w:rPr>
                  <w:rFonts w:ascii="Cambria Math" w:hAnsi="Cambria Math"/>
                  <w:lang w:eastAsia="de-DE"/>
                </w:rPr>
                <m:t>2</m:t>
              </m:r>
            </m:sup>
          </m:sSup>
          <m:r>
            <w:rPr>
              <w:rFonts w:ascii="Cambria Math" w:hAnsi="Cambria Math"/>
              <w:lang w:eastAsia="de-D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de-DE"/>
                </w:rPr>
              </m:ctrlPr>
            </m:naryPr>
            <m:sub>
              <m:r>
                <w:rPr>
                  <w:rFonts w:ascii="Cambria Math" w:hAnsi="Cambria Math"/>
                  <w:lang w:eastAsia="de-DE"/>
                </w:rPr>
                <m:t>ij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eastAsia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de-D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de-DE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de-D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de-DE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de-D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de-DE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de-DE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de-DE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de-DE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eastAsia="de-DE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de-DE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de-DE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de-DE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de-D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de-DE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de-D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de-DE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de-DE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de-DE"/>
                    </w:rPr>
                    <m:t>2</m:t>
                  </m:r>
                </m:sup>
              </m:sSup>
            </m:e>
          </m:nary>
        </m:oMath>
      </m:oMathPara>
    </w:p>
    <w:p w:rsidR="00125AB8" w:rsidRDefault="00125AB8" w:rsidP="00A73390"/>
    <w:p w:rsidR="009C6580" w:rsidRDefault="006A5F22" w:rsidP="00A73390">
      <w:r>
        <w:t xml:space="preserve">To avoid division by zero we added 0.001 to </w:t>
      </w:r>
      <w:proofErr w:type="spellStart"/>
      <w:r w:rsidRPr="006A5F22">
        <w:rPr>
          <w:i/>
        </w:rPr>
        <w:t>p</w:t>
      </w:r>
      <w:r w:rsidRPr="006A5F22">
        <w:rPr>
          <w:i/>
          <w:vertAlign w:val="subscript"/>
        </w:rPr>
        <w:t>ij</w:t>
      </w:r>
      <w:proofErr w:type="spellEnd"/>
      <w:r>
        <w:t xml:space="preserve"> in the denominator. </w:t>
      </w:r>
      <w:r w:rsidR="009C6580">
        <w:t xml:space="preserve">For the RN model </w:t>
      </w:r>
      <w:proofErr w:type="spellStart"/>
      <w:r w:rsidR="009C6580" w:rsidRPr="006A5F22">
        <w:rPr>
          <w:i/>
        </w:rPr>
        <w:t>p</w:t>
      </w:r>
      <w:r w:rsidR="009C6580" w:rsidRPr="006A5F22">
        <w:rPr>
          <w:i/>
          <w:vertAlign w:val="subscript"/>
        </w:rPr>
        <w:t>ij</w:t>
      </w:r>
      <w:proofErr w:type="spellEnd"/>
      <w:r w:rsidR="009C6580">
        <w:t xml:space="preserve"> is replaced by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9C6580">
        <w:t>.</w:t>
      </w:r>
      <w:r>
        <w:t>We calculated the χ</w:t>
      </w:r>
      <w:r>
        <w:rPr>
          <w:vertAlign w:val="superscript"/>
        </w:rPr>
        <w:t>2</w:t>
      </w:r>
      <w:r w:rsidR="001A52AC">
        <w:t xml:space="preserve"> discrepancy</w:t>
      </w:r>
      <w:r>
        <w:t xml:space="preserve"> for our observed dataset and a simulated </w:t>
      </w:r>
      <w:r w:rsidR="009C6580">
        <w:t xml:space="preserve">ideal </w:t>
      </w:r>
      <w:r>
        <w:t xml:space="preserve">dataset based on the estimated parameters at each iteration of the MCMC algorithm. </w:t>
      </w:r>
      <w:r w:rsidR="009C6580">
        <w:t>We calculated the</w:t>
      </w:r>
      <w:r>
        <w:t xml:space="preserve"> Bayesian </w:t>
      </w:r>
      <w:r w:rsidRPr="00056F5E">
        <w:rPr>
          <w:i/>
        </w:rPr>
        <w:t>p</w:t>
      </w:r>
      <w:r>
        <w:t xml:space="preserve">-value as </w:t>
      </w:r>
      <w:proofErr w:type="spellStart"/>
      <w:proofErr w:type="gramStart"/>
      <w:r>
        <w:t>Pr</w:t>
      </w:r>
      <w:proofErr w:type="spellEnd"/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sim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C6580">
        <w:t xml:space="preserve">) </w:t>
      </w:r>
      <w:r w:rsidR="00757E72">
        <w:t>with values larger than 0.95 or smaller than 0.05 indicating a lack of fit.</w:t>
      </w:r>
      <w:r w:rsidR="001A52AC">
        <w:t xml:space="preserve"> We also calculated a </w:t>
      </w:r>
      <w:r w:rsidR="00056F5E">
        <w:t>“</w:t>
      </w:r>
      <w:r w:rsidR="009C6580">
        <w:t>lack-of –</w:t>
      </w:r>
      <w:r w:rsidR="001A52AC">
        <w:t xml:space="preserve">fit” </w:t>
      </w:r>
      <w:r w:rsidR="009C6580">
        <w:t xml:space="preserve">statistics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sim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56F5E">
        <w:t xml:space="preserve"> which is expected to be equal to 1 if the model fits the data perfectly </w:t>
      </w:r>
      <w:r w:rsidR="00056F5E">
        <w:fldChar w:fldCharType="begin"/>
      </w:r>
      <w:r w:rsidR="00056F5E">
        <w:instrText xml:space="preserve"> ADDIN EN.CITE &lt;EndNote&gt;&lt;Cite&gt;&lt;Author&gt;Kéry&lt;/Author&gt;&lt;Year&gt;2012&lt;/Year&gt;&lt;RecNum&gt;4747&lt;/RecNum&gt;&lt;DisplayText&gt;(Kéry &amp;amp; Schaub 2012)&lt;/DisplayText&gt;&lt;record&gt;&lt;rec-number&gt;4747&lt;/rec-number&gt;&lt;foreign-keys&gt;&lt;key app="EN" db-id="dzrsr2ee6fvvfcepxsbp2axttx0zwexe5r5d"&gt;4747&lt;/key&gt;&lt;/foreign-keys&gt;&lt;ref-type name="Book"&gt;6&lt;/ref-type&gt;&lt;contributors&gt;&lt;authors&gt;&lt;author&gt;Kéry, Marc&lt;/author&gt;&lt;author&gt;Schaub, Michael&lt;/author&gt;&lt;/authors&gt;&lt;/contributors&gt;&lt;titles&gt;&lt;title&gt;Bayesian population analysis using WinBUGS a hierarchical perspective&lt;/title&gt;&lt;/titles&gt;&lt;pages&gt;535 S.&lt;/pages&gt;&lt;keywords&gt;&lt;keyword&gt;Populationsbiologie&lt;/keyword&gt;&lt;keyword&gt;Populationsdynamik&lt;/keyword&gt;&lt;keyword&gt;Biometrie&lt;/keyword&gt;&lt;keyword&gt;Bayes-Entscheidungstheorie&lt;/keyword&gt;&lt;keyword&gt;Statistisches Modell&lt;/keyword&gt;&lt;keyword&gt;Population biology Data processing&lt;/keyword&gt;&lt;keyword&gt;WinBUGS&lt;/keyword&gt;&lt;keyword&gt;populationsbiologie + populationsèokologie (èokologie)&lt;/keyword&gt;&lt;keyword&gt;biometrie + biostatistik (biologische techniken)&lt;/keyword&gt;&lt;keyword&gt;statistiksoftware&lt;/keyword&gt;&lt;keyword&gt;modellrechnung und simulation (èokologie)&lt;/keyword&gt;&lt;keyword&gt;bayessche theorie (wahrscheinlichkeitsrechnung)&lt;/keyword&gt;&lt;/keywords&gt;&lt;dates&gt;&lt;year&gt;2012&lt;/year&gt;&lt;/dates&gt;&lt;pub-location&gt;Amsterdam&lt;/pub-location&gt;&lt;publisher&gt;Elsevier&lt;/publisher&gt;&lt;isbn&gt;978-0-12-387020-9 (alk. paper)&amp;#xD;0-12-387020-8 (alk. paper)&amp;#xD;978-0-12-387021-6&lt;/isbn&gt;&lt;call-num&gt;E05&amp;#xD;Z01&lt;/call-num&gt;&lt;urls&gt;&lt;/urls&gt;&lt;/record&gt;&lt;/Cite&gt;&lt;/EndNote&gt;</w:instrText>
      </w:r>
      <w:r w:rsidR="00056F5E">
        <w:fldChar w:fldCharType="separate"/>
      </w:r>
      <w:r w:rsidR="00056F5E">
        <w:rPr>
          <w:noProof/>
        </w:rPr>
        <w:t>(</w:t>
      </w:r>
      <w:hyperlink w:anchor="_ENREF_2" w:tooltip="Kéry, 2012 #4747" w:history="1">
        <w:r w:rsidR="00056F5E">
          <w:rPr>
            <w:noProof/>
          </w:rPr>
          <w:t>Kéry &amp; Schaub 2012</w:t>
        </w:r>
      </w:hyperlink>
      <w:r w:rsidR="00056F5E">
        <w:rPr>
          <w:noProof/>
        </w:rPr>
        <w:t>)</w:t>
      </w:r>
      <w:r w:rsidR="00056F5E">
        <w:fldChar w:fldCharType="end"/>
      </w:r>
      <w:r w:rsidR="00056F5E">
        <w:t>.</w:t>
      </w:r>
    </w:p>
    <w:p w:rsidR="009C6580" w:rsidRDefault="009C6580" w:rsidP="00A73390"/>
    <w:p w:rsidR="006A5F22" w:rsidRDefault="006A5F22" w:rsidP="00A73390"/>
    <w:p w:rsidR="00B2250B" w:rsidRDefault="007A442D" w:rsidP="00A73390">
      <w:pPr>
        <w:rPr>
          <w:noProof/>
        </w:rPr>
      </w:pPr>
      <w:r>
        <w:rPr>
          <w:noProof/>
        </w:rPr>
        <w:t>Binary</w:t>
      </w:r>
      <w:r w:rsidR="00831620">
        <w:rPr>
          <w:noProof/>
        </w:rPr>
        <w:t xml:space="preserve"> model:</w:t>
      </w:r>
    </w:p>
    <w:p w:rsidR="00A44F41" w:rsidRDefault="00A44F41" w:rsidP="00A73390">
      <w:pPr>
        <w:rPr>
          <w:noProof/>
        </w:rPr>
      </w:pPr>
    </w:p>
    <w:p w:rsidR="00831620" w:rsidRDefault="00D206A7" w:rsidP="00A73390">
      <w:r>
        <w:rPr>
          <w:noProof/>
        </w:rPr>
        <w:drawing>
          <wp:inline distT="0" distB="0" distL="0" distR="0">
            <wp:extent cx="20574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41" w:rsidRPr="006F56BF" w:rsidRDefault="00AC4341" w:rsidP="00A73390">
      <w:r w:rsidRPr="006F56BF">
        <w:t>DIC=</w:t>
      </w:r>
      <w:r w:rsidR="00944BBA" w:rsidRPr="00944BBA">
        <w:t>16919</w:t>
      </w:r>
    </w:p>
    <w:p w:rsidR="006A5F22" w:rsidRPr="006F56BF" w:rsidRDefault="00B2250B" w:rsidP="00A73390">
      <w:proofErr w:type="gramStart"/>
      <w:r w:rsidRPr="006F56BF">
        <w:t>p-value=</w:t>
      </w:r>
      <w:proofErr w:type="gramEnd"/>
      <w:r w:rsidRPr="006F56BF">
        <w:t>1</w:t>
      </w:r>
    </w:p>
    <w:p w:rsidR="00B2250B" w:rsidRDefault="00B2250B" w:rsidP="00A73390">
      <w:proofErr w:type="gramStart"/>
      <w:r w:rsidRPr="006F56BF">
        <w:t>lack-of-fit=</w:t>
      </w:r>
      <w:proofErr w:type="gramEnd"/>
      <w:r w:rsidR="00D4578A" w:rsidRPr="006F56BF">
        <w:t>1.9</w:t>
      </w:r>
      <w:r w:rsidR="00944BBA">
        <w:t>08</w:t>
      </w:r>
    </w:p>
    <w:p w:rsidR="00977559" w:rsidRDefault="00977559" w:rsidP="00A73390"/>
    <w:p w:rsidR="00977559" w:rsidRDefault="00977559">
      <w:r>
        <w:br w:type="page"/>
      </w:r>
    </w:p>
    <w:p w:rsidR="00977559" w:rsidRDefault="00492514" w:rsidP="00A73390">
      <w:r>
        <w:lastRenderedPageBreak/>
        <w:t>Binary</w:t>
      </w:r>
      <w:r w:rsidR="00977559">
        <w:t xml:space="preserve"> </w:t>
      </w:r>
      <w:r w:rsidR="00604972">
        <w:t xml:space="preserve">model </w:t>
      </w:r>
      <w:r w:rsidR="00977559">
        <w:t>pool</w:t>
      </w:r>
      <w:r w:rsidR="0044439F">
        <w:t xml:space="preserve">ed data </w:t>
      </w:r>
      <w:r w:rsidR="00604972">
        <w:t>(6 days as on</w:t>
      </w:r>
      <w:r w:rsidR="0078321E">
        <w:t>e</w:t>
      </w:r>
      <w:r w:rsidR="00604972">
        <w:t xml:space="preserve"> primary interval)</w:t>
      </w:r>
      <w:r w:rsidR="00A44F41">
        <w:t>:</w:t>
      </w:r>
    </w:p>
    <w:p w:rsidR="00A44F41" w:rsidRDefault="00A44F41" w:rsidP="00A73390"/>
    <w:p w:rsidR="00977559" w:rsidRDefault="00D206A7" w:rsidP="00A73390">
      <w:r>
        <w:rPr>
          <w:noProof/>
        </w:rPr>
        <w:drawing>
          <wp:inline distT="0" distB="0" distL="0" distR="0">
            <wp:extent cx="20574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972" w:rsidRPr="00C14E63" w:rsidRDefault="00604972" w:rsidP="00977559">
      <w:r w:rsidRPr="00C14E63">
        <w:t>DIC=</w:t>
      </w:r>
      <w:r w:rsidR="00944BBA" w:rsidRPr="00944BBA">
        <w:t>15873</w:t>
      </w:r>
    </w:p>
    <w:p w:rsidR="00977559" w:rsidRPr="00C14E63" w:rsidRDefault="00944BBA" w:rsidP="00977559">
      <w:proofErr w:type="gramStart"/>
      <w:r>
        <w:t>p-value=</w:t>
      </w:r>
      <w:proofErr w:type="gramEnd"/>
      <w:r>
        <w:t>0.999</w:t>
      </w:r>
    </w:p>
    <w:p w:rsidR="00977559" w:rsidRDefault="00977559" w:rsidP="00977559">
      <w:proofErr w:type="gramStart"/>
      <w:r w:rsidRPr="00C14E63">
        <w:t>lack-of-fit=</w:t>
      </w:r>
      <w:proofErr w:type="gramEnd"/>
      <w:r w:rsidRPr="00C14E63">
        <w:t>1.</w:t>
      </w:r>
      <w:r w:rsidR="00C14E63" w:rsidRPr="00C14E63">
        <w:t>4</w:t>
      </w:r>
      <w:r w:rsidR="00944BBA">
        <w:t>33</w:t>
      </w:r>
    </w:p>
    <w:p w:rsidR="00831620" w:rsidRDefault="00831620" w:rsidP="00A73390"/>
    <w:p w:rsidR="00831620" w:rsidRDefault="00831620" w:rsidP="00A73390"/>
    <w:p w:rsidR="006676FF" w:rsidRDefault="006676FF">
      <w:r>
        <w:br w:type="page"/>
      </w:r>
    </w:p>
    <w:p w:rsidR="00B2250B" w:rsidRDefault="00335774" w:rsidP="00A73390">
      <w:r>
        <w:lastRenderedPageBreak/>
        <w:t>Royle-Nichols</w:t>
      </w:r>
      <w:r w:rsidR="006676FF">
        <w:t xml:space="preserve"> model:</w:t>
      </w:r>
    </w:p>
    <w:p w:rsidR="00A44F41" w:rsidRDefault="00A44F41" w:rsidP="00A73390"/>
    <w:p w:rsidR="006676FF" w:rsidRDefault="00D206A7" w:rsidP="00A73390">
      <w:r>
        <w:rPr>
          <w:noProof/>
        </w:rPr>
        <w:drawing>
          <wp:inline distT="0" distB="0" distL="0" distR="0">
            <wp:extent cx="20574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0B" w:rsidRDefault="00B2250B" w:rsidP="00A73390"/>
    <w:p w:rsidR="00C51302" w:rsidRPr="0044439F" w:rsidRDefault="00C51302" w:rsidP="00A73390">
      <w:r w:rsidRPr="0044439F">
        <w:t>DIC=</w:t>
      </w:r>
      <w:r w:rsidR="009B5663" w:rsidRPr="009B5663">
        <w:t>14778</w:t>
      </w:r>
    </w:p>
    <w:p w:rsidR="00B2250B" w:rsidRPr="0044439F" w:rsidRDefault="00B2250B" w:rsidP="00A73390">
      <w:proofErr w:type="gramStart"/>
      <w:r w:rsidRPr="0044439F">
        <w:t>p-value=</w:t>
      </w:r>
      <w:proofErr w:type="gramEnd"/>
      <w:r w:rsidRPr="0044439F">
        <w:t>0.9</w:t>
      </w:r>
      <w:r w:rsidR="009B5663">
        <w:t>54</w:t>
      </w:r>
    </w:p>
    <w:p w:rsidR="00B2250B" w:rsidRDefault="006676FF" w:rsidP="00A73390">
      <w:proofErr w:type="gramStart"/>
      <w:r w:rsidRPr="0044439F">
        <w:t>lack-of-fit</w:t>
      </w:r>
      <w:proofErr w:type="gramEnd"/>
      <w:r w:rsidRPr="0044439F">
        <w:t>: 1.0</w:t>
      </w:r>
      <w:r w:rsidR="009B5663">
        <w:t>7</w:t>
      </w:r>
      <w:r w:rsidR="00313B2F">
        <w:t>7</w:t>
      </w:r>
    </w:p>
    <w:p w:rsidR="006676FF" w:rsidRDefault="006676FF" w:rsidP="00A73390"/>
    <w:p w:rsidR="006676FF" w:rsidRDefault="006676FF" w:rsidP="00A73390"/>
    <w:p w:rsidR="006676FF" w:rsidRDefault="00335774" w:rsidP="00A73390">
      <w:r>
        <w:t xml:space="preserve">Royle-Nichols </w:t>
      </w:r>
      <w:r w:rsidR="00031625">
        <w:t>pooled</w:t>
      </w:r>
      <w:r w:rsidR="0020456A">
        <w:t xml:space="preserve"> (6 days as on</w:t>
      </w:r>
      <w:r>
        <w:t>e</w:t>
      </w:r>
      <w:r w:rsidR="0020456A">
        <w:t xml:space="preserve"> primary interval)</w:t>
      </w:r>
      <w:r w:rsidR="00CE587F">
        <w:t>:</w:t>
      </w:r>
    </w:p>
    <w:p w:rsidR="00031625" w:rsidRDefault="00031625" w:rsidP="00A73390"/>
    <w:p w:rsidR="00031625" w:rsidRDefault="00D206A7" w:rsidP="00A73390">
      <w:r>
        <w:rPr>
          <w:noProof/>
        </w:rPr>
        <w:drawing>
          <wp:inline distT="0" distB="0" distL="0" distR="0">
            <wp:extent cx="20574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25" w:rsidRDefault="000E6177" w:rsidP="00031625">
      <w:r>
        <w:t>DIC=</w:t>
      </w:r>
      <w:r w:rsidR="00A44F41" w:rsidRPr="00A44F41">
        <w:t>14947</w:t>
      </w:r>
    </w:p>
    <w:p w:rsidR="00031625" w:rsidRDefault="00031625" w:rsidP="00031625">
      <w:proofErr w:type="gramStart"/>
      <w:r>
        <w:t>p-value=</w:t>
      </w:r>
      <w:proofErr w:type="gramEnd"/>
      <w:r>
        <w:t>0.</w:t>
      </w:r>
      <w:r w:rsidR="00A44F41">
        <w:t>855</w:t>
      </w:r>
    </w:p>
    <w:p w:rsidR="00031625" w:rsidRDefault="00031625" w:rsidP="00031625">
      <w:proofErr w:type="gramStart"/>
      <w:r>
        <w:t>lack-of-fit</w:t>
      </w:r>
      <w:proofErr w:type="gramEnd"/>
      <w:r>
        <w:t>: 1.0</w:t>
      </w:r>
      <w:r w:rsidR="00A44F41">
        <w:t>52</w:t>
      </w:r>
    </w:p>
    <w:p w:rsidR="00202EDE" w:rsidRDefault="00202EDE">
      <w:r>
        <w:br w:type="page"/>
      </w:r>
    </w:p>
    <w:p w:rsidR="00031625" w:rsidRDefault="00031625" w:rsidP="00031625"/>
    <w:tbl>
      <w:tblPr>
        <w:tblStyle w:val="TableClassic1"/>
        <w:tblW w:w="5000" w:type="pct"/>
        <w:tblLayout w:type="fixed"/>
        <w:tblLook w:val="0420" w:firstRow="1" w:lastRow="0" w:firstColumn="0" w:lastColumn="0" w:noHBand="0" w:noVBand="1"/>
      </w:tblPr>
      <w:tblGrid>
        <w:gridCol w:w="2481"/>
        <w:gridCol w:w="887"/>
        <w:gridCol w:w="992"/>
        <w:gridCol w:w="1123"/>
        <w:gridCol w:w="1125"/>
        <w:gridCol w:w="1125"/>
        <w:gridCol w:w="1123"/>
      </w:tblGrid>
      <w:tr w:rsidR="00803F68" w:rsidRPr="00202EDE" w:rsidTr="0080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401" w:type="pct"/>
            <w:noWrap/>
            <w:hideMark/>
          </w:tcPr>
          <w:p w:rsidR="00854075" w:rsidRPr="00202EDE" w:rsidRDefault="00854075" w:rsidP="00973EE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01" w:type="pct"/>
            <w:noWrap/>
            <w:hideMark/>
          </w:tcPr>
          <w:p w:rsidR="00854075" w:rsidRPr="006F56BF" w:rsidRDefault="00854075" w:rsidP="00973EE2">
            <w:pPr>
              <w:rPr>
                <w:rFonts w:asciiTheme="minorHAnsi" w:hAnsiTheme="minorHAnsi"/>
                <w:sz w:val="20"/>
                <w:szCs w:val="20"/>
              </w:rPr>
            </w:pPr>
            <w:r w:rsidRPr="006F56BF">
              <w:rPr>
                <w:rFonts w:asciiTheme="minorHAnsi" w:hAnsiTheme="minorHAnsi"/>
                <w:sz w:val="20"/>
                <w:szCs w:val="20"/>
              </w:rPr>
              <w:t xml:space="preserve">Records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1-d </w:t>
            </w:r>
            <w:r w:rsidRPr="006F56BF">
              <w:rPr>
                <w:rFonts w:asciiTheme="minorHAnsi" w:hAnsiTheme="minorHAnsi"/>
                <w:sz w:val="20"/>
                <w:szCs w:val="20"/>
              </w:rPr>
              <w:t>(N)</w:t>
            </w:r>
          </w:p>
        </w:tc>
        <w:tc>
          <w:tcPr>
            <w:tcW w:w="560" w:type="pct"/>
          </w:tcPr>
          <w:p w:rsidR="00854075" w:rsidRPr="006F56BF" w:rsidRDefault="00854075" w:rsidP="0068076A">
            <w:pPr>
              <w:rPr>
                <w:rFonts w:asciiTheme="minorHAnsi" w:hAnsiTheme="minorHAnsi"/>
                <w:sz w:val="20"/>
                <w:szCs w:val="20"/>
              </w:rPr>
            </w:pPr>
            <w:r w:rsidRPr="006F56BF">
              <w:rPr>
                <w:rFonts w:asciiTheme="minorHAnsi" w:hAnsiTheme="minorHAnsi"/>
                <w:sz w:val="20"/>
                <w:szCs w:val="20"/>
              </w:rPr>
              <w:t xml:space="preserve">Records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6-d </w:t>
            </w:r>
            <w:r w:rsidRPr="006F56BF">
              <w:rPr>
                <w:rFonts w:asciiTheme="minorHAnsi" w:hAnsiTheme="minorHAnsi"/>
                <w:sz w:val="20"/>
                <w:szCs w:val="20"/>
              </w:rPr>
              <w:t>(N)</w:t>
            </w:r>
          </w:p>
        </w:tc>
        <w:tc>
          <w:tcPr>
            <w:tcW w:w="634" w:type="pct"/>
            <w:noWrap/>
            <w:hideMark/>
          </w:tcPr>
          <w:p w:rsidR="00854075" w:rsidRPr="006F56BF" w:rsidRDefault="00854075" w:rsidP="00973EE2">
            <w:pPr>
              <w:rPr>
                <w:rFonts w:asciiTheme="minorHAnsi" w:hAnsiTheme="minorHAnsi"/>
                <w:sz w:val="20"/>
                <w:szCs w:val="20"/>
              </w:rPr>
            </w:pPr>
            <w:r w:rsidRPr="006F56BF">
              <w:rPr>
                <w:rFonts w:asciiTheme="minorHAnsi" w:hAnsiTheme="minorHAnsi"/>
                <w:sz w:val="20"/>
                <w:szCs w:val="20"/>
              </w:rPr>
              <w:t>p-value</w:t>
            </w:r>
          </w:p>
          <w:p w:rsidR="00854075" w:rsidRPr="006F56BF" w:rsidRDefault="00854075" w:rsidP="00973EE2">
            <w:pPr>
              <w:rPr>
                <w:rFonts w:asciiTheme="minorHAnsi" w:hAnsiTheme="minorHAnsi"/>
                <w:sz w:val="20"/>
                <w:szCs w:val="20"/>
              </w:rPr>
            </w:pPr>
            <w:r w:rsidRPr="006F56BF">
              <w:rPr>
                <w:rFonts w:asciiTheme="minorHAnsi" w:hAnsiTheme="minorHAnsi"/>
                <w:sz w:val="20"/>
                <w:szCs w:val="20"/>
              </w:rPr>
              <w:t>Binary</w:t>
            </w:r>
            <w:r w:rsidR="00803F68">
              <w:rPr>
                <w:rFonts w:asciiTheme="minorHAnsi" w:hAnsiTheme="minorHAnsi"/>
                <w:sz w:val="20"/>
                <w:szCs w:val="20"/>
              </w:rPr>
              <w:t xml:space="preserve"> 1-d</w:t>
            </w:r>
          </w:p>
        </w:tc>
        <w:tc>
          <w:tcPr>
            <w:tcW w:w="635" w:type="pct"/>
            <w:noWrap/>
            <w:hideMark/>
          </w:tcPr>
          <w:p w:rsidR="00854075" w:rsidRPr="0096709C" w:rsidRDefault="00854075" w:rsidP="00973EE2">
            <w:pPr>
              <w:rPr>
                <w:rFonts w:asciiTheme="minorHAnsi" w:hAnsiTheme="minorHAnsi"/>
                <w:sz w:val="20"/>
                <w:szCs w:val="20"/>
              </w:rPr>
            </w:pPr>
            <w:r w:rsidRPr="0096709C">
              <w:rPr>
                <w:rFonts w:asciiTheme="minorHAnsi" w:hAnsiTheme="minorHAnsi"/>
                <w:sz w:val="20"/>
                <w:szCs w:val="20"/>
              </w:rPr>
              <w:t>p-value</w:t>
            </w:r>
          </w:p>
          <w:p w:rsidR="00854075" w:rsidRPr="00CD6621" w:rsidRDefault="00854075" w:rsidP="00803F68">
            <w:pPr>
              <w:rPr>
                <w:rFonts w:asciiTheme="minorHAnsi" w:hAnsiTheme="minorHAnsi"/>
                <w:sz w:val="20"/>
                <w:szCs w:val="20"/>
                <w:highlight w:val="yellow"/>
              </w:rPr>
            </w:pPr>
            <w:r w:rsidRPr="0096709C">
              <w:rPr>
                <w:rFonts w:asciiTheme="minorHAnsi" w:hAnsiTheme="minorHAnsi"/>
                <w:sz w:val="20"/>
                <w:szCs w:val="20"/>
              </w:rPr>
              <w:t xml:space="preserve">Binary </w:t>
            </w:r>
            <w:r w:rsidR="00803F68">
              <w:rPr>
                <w:rFonts w:asciiTheme="minorHAnsi" w:hAnsiTheme="minorHAnsi"/>
                <w:sz w:val="20"/>
                <w:szCs w:val="20"/>
              </w:rPr>
              <w:t>6-d</w:t>
            </w:r>
          </w:p>
        </w:tc>
        <w:tc>
          <w:tcPr>
            <w:tcW w:w="635" w:type="pct"/>
            <w:noWrap/>
            <w:hideMark/>
          </w:tcPr>
          <w:p w:rsidR="00854075" w:rsidRPr="0044439F" w:rsidRDefault="00854075" w:rsidP="00973EE2">
            <w:pPr>
              <w:rPr>
                <w:rFonts w:asciiTheme="minorHAnsi" w:hAnsiTheme="minorHAnsi"/>
                <w:sz w:val="20"/>
                <w:szCs w:val="20"/>
              </w:rPr>
            </w:pPr>
            <w:r w:rsidRPr="0044439F">
              <w:rPr>
                <w:rFonts w:asciiTheme="minorHAnsi" w:hAnsiTheme="minorHAnsi"/>
                <w:sz w:val="20"/>
                <w:szCs w:val="20"/>
              </w:rPr>
              <w:t>p-value</w:t>
            </w:r>
          </w:p>
          <w:p w:rsidR="00854075" w:rsidRPr="00CD6621" w:rsidRDefault="00854075" w:rsidP="00973EE2">
            <w:pPr>
              <w:rPr>
                <w:rFonts w:asciiTheme="minorHAnsi" w:hAnsiTheme="minorHAnsi"/>
                <w:sz w:val="20"/>
                <w:szCs w:val="20"/>
                <w:highlight w:val="yellow"/>
              </w:rPr>
            </w:pPr>
            <w:r w:rsidRPr="0044439F">
              <w:rPr>
                <w:rFonts w:asciiTheme="minorHAnsi" w:hAnsiTheme="minorHAnsi"/>
                <w:sz w:val="20"/>
                <w:szCs w:val="20"/>
              </w:rPr>
              <w:t>RN</w:t>
            </w:r>
            <w:r w:rsidR="00803F68">
              <w:rPr>
                <w:rFonts w:asciiTheme="minorHAnsi" w:hAnsiTheme="minorHAnsi"/>
                <w:sz w:val="20"/>
                <w:szCs w:val="20"/>
              </w:rPr>
              <w:t xml:space="preserve"> 1-d</w:t>
            </w:r>
          </w:p>
        </w:tc>
        <w:tc>
          <w:tcPr>
            <w:tcW w:w="635" w:type="pct"/>
            <w:noWrap/>
            <w:hideMark/>
          </w:tcPr>
          <w:p w:rsidR="00854075" w:rsidRDefault="00854075" w:rsidP="00973E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p-value</w:t>
            </w:r>
          </w:p>
          <w:p w:rsidR="00854075" w:rsidRPr="00202EDE" w:rsidRDefault="00854075" w:rsidP="00973EE2">
            <w:pPr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 xml:space="preserve">RN </w:t>
            </w:r>
            <w:r w:rsidR="00803F68">
              <w:rPr>
                <w:rFonts w:asciiTheme="minorHAnsi" w:hAnsiTheme="minorHAnsi"/>
                <w:sz w:val="20"/>
                <w:szCs w:val="20"/>
              </w:rPr>
              <w:t>6-d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Atelocynus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microtis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6F56BF">
              <w:rPr>
                <w:rFonts w:asciiTheme="minorHAnsi" w:hAnsiTheme="minorHAnsi"/>
                <w:sz w:val="20"/>
                <w:szCs w:val="20"/>
              </w:rPr>
              <w:t>7</w:t>
            </w:r>
            <w:r w:rsidRPr="00202EDE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67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0.77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0.64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0.54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0.50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Cuniculus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paca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355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280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0.82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0.76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Dasyprocta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punctata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724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501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0.95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0.95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Dasypus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spp.</w:t>
            </w:r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144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136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0.07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0.99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0.20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0.75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Didelphis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114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93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0.98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0.86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0.65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0.62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Eira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barbara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59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57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0.65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0.70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0.44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0.44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Galicitis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0.26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0.24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0.25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0.23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Leopardus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pardalis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357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287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0.99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0.65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0.61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Leopardus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wiedii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80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77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0.63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0.52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0.47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0.45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Mazama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385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325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0.70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0.73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Mazama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nemorivaga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305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230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0.98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0.95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Mitu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tuberosum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375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294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0.88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0.53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0.43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Myoprocta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152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101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0.98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0.88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Myrmecophaga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tridactyla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57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52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0.67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0.57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0.46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0.43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Nasua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nasua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0.78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0.82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0.71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0.73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Panthera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onca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233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209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0.82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0.83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0.49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0.45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Pecari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tajacu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324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275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0.60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0.59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Penelope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jacquacu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121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110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0.84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0.79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0.50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0.52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Priodontes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maximus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47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43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0.67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0.69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0.55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0.56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Procyon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cancrivorus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0.50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0.39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0.50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0.40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Psophia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leucoptera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573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394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0.93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0.76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Puma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concolor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110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105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0.65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0.55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0.39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0.39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Puma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yagouaroundi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0.36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0.32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0.32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0.28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Speothos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venaticus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0.29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0.27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0.27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0.27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Sylvilagus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80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49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0.95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0.77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0.66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0.58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Tapirus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terrestris</w:t>
            </w:r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723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536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0.70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0.69</w:t>
            </w:r>
          </w:p>
        </w:tc>
      </w:tr>
      <w:tr w:rsidR="00803F68" w:rsidRPr="00202EDE" w:rsidTr="00803F68">
        <w:trPr>
          <w:trHeight w:val="300"/>
        </w:trPr>
        <w:tc>
          <w:tcPr>
            <w:tcW w:w="1401" w:type="pct"/>
            <w:noWrap/>
            <w:hideMark/>
          </w:tcPr>
          <w:p w:rsidR="000D0E51" w:rsidRPr="00202EDE" w:rsidRDefault="000D0E51" w:rsidP="00973EE2">
            <w:pPr>
              <w:rPr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Tayassu</w:t>
            </w:r>
            <w:proofErr w:type="spellEnd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02EDE">
              <w:rPr>
                <w:rFonts w:asciiTheme="minorHAnsi" w:hAnsiTheme="minorHAnsi"/>
                <w:i/>
                <w:sz w:val="20"/>
                <w:szCs w:val="20"/>
              </w:rPr>
              <w:t>pecari</w:t>
            </w:r>
            <w:proofErr w:type="spellEnd"/>
          </w:p>
        </w:tc>
        <w:tc>
          <w:tcPr>
            <w:tcW w:w="501" w:type="pct"/>
            <w:noWrap/>
            <w:hideMark/>
          </w:tcPr>
          <w:p w:rsidR="000D0E51" w:rsidRPr="00202EDE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202EDE">
              <w:rPr>
                <w:rFonts w:asciiTheme="minorHAnsi" w:hAnsiTheme="minorHAnsi"/>
                <w:sz w:val="20"/>
                <w:szCs w:val="20"/>
              </w:rPr>
              <w:t>567</w:t>
            </w:r>
          </w:p>
        </w:tc>
        <w:tc>
          <w:tcPr>
            <w:tcW w:w="560" w:type="pct"/>
          </w:tcPr>
          <w:p w:rsidR="000D0E51" w:rsidRPr="000D0E5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0D0E51">
              <w:rPr>
                <w:rFonts w:asciiTheme="minorHAnsi" w:hAnsiTheme="minorHAnsi"/>
                <w:sz w:val="20"/>
                <w:szCs w:val="20"/>
              </w:rPr>
              <w:t>428</w:t>
            </w:r>
          </w:p>
        </w:tc>
        <w:tc>
          <w:tcPr>
            <w:tcW w:w="634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44BBA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44BBA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635" w:type="pct"/>
            <w:noWrap/>
            <w:hideMark/>
          </w:tcPr>
          <w:p w:rsidR="000D0E51" w:rsidRPr="00977BC6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77BC6">
              <w:rPr>
                <w:rFonts w:asciiTheme="minorHAnsi" w:hAnsiTheme="minorHAnsi"/>
                <w:sz w:val="20"/>
                <w:szCs w:val="20"/>
              </w:rPr>
              <w:t>0.66</w:t>
            </w:r>
          </w:p>
        </w:tc>
        <w:tc>
          <w:tcPr>
            <w:tcW w:w="635" w:type="pct"/>
            <w:noWrap/>
            <w:hideMark/>
          </w:tcPr>
          <w:p w:rsidR="000D0E51" w:rsidRPr="00A44F41" w:rsidRDefault="000D0E51" w:rsidP="000D0E5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44F41">
              <w:rPr>
                <w:rFonts w:asciiTheme="minorHAnsi" w:hAnsiTheme="minorHAnsi"/>
                <w:sz w:val="20"/>
                <w:szCs w:val="20"/>
              </w:rPr>
              <w:t>0.57</w:t>
            </w:r>
          </w:p>
        </w:tc>
      </w:tr>
    </w:tbl>
    <w:p w:rsidR="00031625" w:rsidRDefault="00031625" w:rsidP="00031625"/>
    <w:p w:rsidR="00202EDE" w:rsidRDefault="00202EDE" w:rsidP="00031625">
      <w:r>
        <w:t xml:space="preserve">Bayesian </w:t>
      </w:r>
      <w:r w:rsidRPr="00202EDE">
        <w:rPr>
          <w:i/>
        </w:rPr>
        <w:t>p</w:t>
      </w:r>
      <w:r>
        <w:t xml:space="preserve">-value </w:t>
      </w:r>
      <w:r>
        <w:rPr>
          <w:lang w:eastAsia="de-DE"/>
        </w:rPr>
        <w:t xml:space="preserve">based on the Pearson’s </w:t>
      </w:r>
      <w:r w:rsidRPr="00125AB8">
        <w:rPr>
          <w:i/>
          <w:lang w:eastAsia="de-DE"/>
        </w:rPr>
        <w:t>χ</w:t>
      </w:r>
      <w:r w:rsidRPr="00125AB8">
        <w:rPr>
          <w:i/>
          <w:vertAlign w:val="superscript"/>
          <w:lang w:eastAsia="de-DE"/>
        </w:rPr>
        <w:t>2</w:t>
      </w:r>
      <w:r>
        <w:rPr>
          <w:lang w:eastAsia="de-DE"/>
        </w:rPr>
        <w:t xml:space="preserve"> discrepancy </w:t>
      </w:r>
      <w:r>
        <w:t xml:space="preserve">for each species for two </w:t>
      </w:r>
      <w:r w:rsidR="00CE587F">
        <w:t>different multi</w:t>
      </w:r>
      <w:r w:rsidR="00D64ED7">
        <w:t xml:space="preserve">-session multi-species occupancy </w:t>
      </w:r>
      <w:r>
        <w:t xml:space="preserve">models with the full data </w:t>
      </w:r>
      <w:r w:rsidR="00803F68">
        <w:t xml:space="preserve">(1-d) </w:t>
      </w:r>
      <w:r>
        <w:t>and 6-day pooled data</w:t>
      </w:r>
      <w:r w:rsidR="00803F68">
        <w:t xml:space="preserve"> (6-d)</w:t>
      </w:r>
      <w:r>
        <w:t>.</w:t>
      </w:r>
      <w:r w:rsidR="00BF13C7">
        <w:t xml:space="preserve"> Values &gt;0.95 or &lt;0.05 indicate a lack of fit.</w:t>
      </w:r>
    </w:p>
    <w:p w:rsidR="009D73FD" w:rsidRDefault="009D73FD"/>
    <w:p w:rsidR="00494BBF" w:rsidRDefault="00494BBF"/>
    <w:p w:rsidR="006A5F22" w:rsidRDefault="00494BBF" w:rsidP="00494BBF">
      <w:pPr>
        <w:pStyle w:val="Heading3"/>
      </w:pPr>
      <w:r>
        <w:t>Literature cited</w:t>
      </w:r>
    </w:p>
    <w:p w:rsidR="00494BBF" w:rsidRDefault="00494BBF" w:rsidP="00A73390"/>
    <w:p w:rsidR="00056F5E" w:rsidRDefault="00125AB8" w:rsidP="00056F5E">
      <w:pPr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="00056F5E">
        <w:rPr>
          <w:noProof/>
        </w:rPr>
        <w:t xml:space="preserve">Gelman, A., Meng, X.-L. &amp; Stern, H. (1996) Posterior predictive assessment of model fitness via realized discrepancies. </w:t>
      </w:r>
      <w:r w:rsidR="00056F5E" w:rsidRPr="00056F5E">
        <w:rPr>
          <w:i/>
          <w:noProof/>
        </w:rPr>
        <w:t>Statistica Sinica,</w:t>
      </w:r>
      <w:r w:rsidR="00056F5E">
        <w:rPr>
          <w:noProof/>
        </w:rPr>
        <w:t xml:space="preserve"> </w:t>
      </w:r>
      <w:r w:rsidR="00056F5E" w:rsidRPr="00056F5E">
        <w:rPr>
          <w:b/>
          <w:noProof/>
        </w:rPr>
        <w:t>6,</w:t>
      </w:r>
      <w:r w:rsidR="00056F5E">
        <w:rPr>
          <w:noProof/>
        </w:rPr>
        <w:t xml:space="preserve"> 733-760.</w:t>
      </w:r>
      <w:bookmarkEnd w:id="0"/>
    </w:p>
    <w:p w:rsidR="00056F5E" w:rsidRDefault="00056F5E" w:rsidP="00056F5E">
      <w:pPr>
        <w:ind w:left="720" w:hanging="720"/>
        <w:rPr>
          <w:noProof/>
        </w:rPr>
      </w:pPr>
      <w:bookmarkStart w:id="1" w:name="_ENREF_2"/>
      <w:r>
        <w:rPr>
          <w:noProof/>
        </w:rPr>
        <w:t xml:space="preserve">Kéry, M. &amp; Schaub, M. (2012) </w:t>
      </w:r>
      <w:r w:rsidRPr="00056F5E">
        <w:rPr>
          <w:i/>
          <w:noProof/>
        </w:rPr>
        <w:t>Bayesian population analysis using WinBUGS a hier</w:t>
      </w:r>
      <w:bookmarkStart w:id="2" w:name="_GoBack"/>
      <w:bookmarkEnd w:id="2"/>
      <w:r w:rsidRPr="00056F5E">
        <w:rPr>
          <w:i/>
          <w:noProof/>
        </w:rPr>
        <w:t>archical perspective</w:t>
      </w:r>
      <w:r>
        <w:rPr>
          <w:noProof/>
        </w:rPr>
        <w:t>. Elsevier, Amsterdam.</w:t>
      </w:r>
      <w:bookmarkEnd w:id="1"/>
    </w:p>
    <w:p w:rsidR="00056F5E" w:rsidRDefault="00056F5E" w:rsidP="00056F5E">
      <w:pPr>
        <w:rPr>
          <w:noProof/>
        </w:rPr>
      </w:pPr>
    </w:p>
    <w:p w:rsidR="00CA02A4" w:rsidRPr="00CB5CEC" w:rsidRDefault="00125AB8" w:rsidP="00494BBF">
      <w:pPr>
        <w:rPr>
          <w:b/>
        </w:rPr>
      </w:pPr>
      <w:r>
        <w:fldChar w:fldCharType="end"/>
      </w:r>
    </w:p>
    <w:sectPr w:rsidR="00CA02A4" w:rsidRPr="00CB5CEC" w:rsidSect="00F76DA6">
      <w:pgSz w:w="12240" w:h="15840"/>
      <w:pgMar w:top="1440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1136B"/>
    <w:multiLevelType w:val="multilevel"/>
    <w:tmpl w:val="8DE62EB0"/>
    <w:lvl w:ilvl="0">
      <w:start w:val="1"/>
      <w:numFmt w:val="none"/>
      <w:pStyle w:val="Chapter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>
      <w:start w:val="1"/>
      <w:numFmt w:val="none"/>
      <w:pStyle w:val="Heading2"/>
      <w:lvlText w:val="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eth Ecology Evolu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zrsr2ee6fvvfcepxsbp2axttx0zwexe5r5d&quot;&gt;LiteratureMT&lt;record-ids&gt;&lt;item&gt;4745&lt;/item&gt;&lt;item&gt;4747&lt;/item&gt;&lt;/record-ids&gt;&lt;/item&gt;&lt;/Libraries&gt;"/>
  </w:docVars>
  <w:rsids>
    <w:rsidRoot w:val="00A73390"/>
    <w:rsid w:val="00012523"/>
    <w:rsid w:val="00031625"/>
    <w:rsid w:val="00033BAA"/>
    <w:rsid w:val="00056F5E"/>
    <w:rsid w:val="000D0E51"/>
    <w:rsid w:val="000E6177"/>
    <w:rsid w:val="00125AB8"/>
    <w:rsid w:val="001967EE"/>
    <w:rsid w:val="001A52AC"/>
    <w:rsid w:val="001C2D39"/>
    <w:rsid w:val="001F6292"/>
    <w:rsid w:val="00202EDE"/>
    <w:rsid w:val="0020456A"/>
    <w:rsid w:val="00230DE7"/>
    <w:rsid w:val="002322ED"/>
    <w:rsid w:val="002B2F1C"/>
    <w:rsid w:val="002D776C"/>
    <w:rsid w:val="00313B2F"/>
    <w:rsid w:val="00335774"/>
    <w:rsid w:val="0044439F"/>
    <w:rsid w:val="00492514"/>
    <w:rsid w:val="00494BBF"/>
    <w:rsid w:val="004D2828"/>
    <w:rsid w:val="00564D15"/>
    <w:rsid w:val="00582E6A"/>
    <w:rsid w:val="00604972"/>
    <w:rsid w:val="00645AF0"/>
    <w:rsid w:val="006676FF"/>
    <w:rsid w:val="006A5F22"/>
    <w:rsid w:val="006F2D6F"/>
    <w:rsid w:val="006F56BF"/>
    <w:rsid w:val="00703457"/>
    <w:rsid w:val="00757E72"/>
    <w:rsid w:val="0078321E"/>
    <w:rsid w:val="007A442D"/>
    <w:rsid w:val="007B6D93"/>
    <w:rsid w:val="00803F68"/>
    <w:rsid w:val="0081180D"/>
    <w:rsid w:val="00831620"/>
    <w:rsid w:val="00854075"/>
    <w:rsid w:val="00907D6C"/>
    <w:rsid w:val="00910AAC"/>
    <w:rsid w:val="00924AE0"/>
    <w:rsid w:val="00934376"/>
    <w:rsid w:val="00944BBA"/>
    <w:rsid w:val="00962639"/>
    <w:rsid w:val="0096709C"/>
    <w:rsid w:val="00977559"/>
    <w:rsid w:val="00977BC6"/>
    <w:rsid w:val="009B5663"/>
    <w:rsid w:val="009C6580"/>
    <w:rsid w:val="009D3CBF"/>
    <w:rsid w:val="009D73FD"/>
    <w:rsid w:val="00A44F41"/>
    <w:rsid w:val="00A73390"/>
    <w:rsid w:val="00AC4341"/>
    <w:rsid w:val="00B2250B"/>
    <w:rsid w:val="00BE6A03"/>
    <w:rsid w:val="00BF13C7"/>
    <w:rsid w:val="00C0144D"/>
    <w:rsid w:val="00C14E63"/>
    <w:rsid w:val="00C26FF3"/>
    <w:rsid w:val="00C51302"/>
    <w:rsid w:val="00CA02A4"/>
    <w:rsid w:val="00CB5CEC"/>
    <w:rsid w:val="00CD6621"/>
    <w:rsid w:val="00CE587F"/>
    <w:rsid w:val="00D206A7"/>
    <w:rsid w:val="00D4578A"/>
    <w:rsid w:val="00D64ED7"/>
    <w:rsid w:val="00DD596D"/>
    <w:rsid w:val="00E16B5D"/>
    <w:rsid w:val="00F7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3390"/>
    <w:pPr>
      <w:pageBreakBefore/>
      <w:spacing w:line="480" w:lineRule="auto"/>
      <w:outlineLvl w:val="0"/>
    </w:pPr>
    <w:rPr>
      <w:rFonts w:eastAsiaTheme="majorEastAsia" w:cstheme="majorBidi"/>
      <w:caps/>
      <w:lang w:val="es-PE" w:eastAsia="de-DE"/>
    </w:rPr>
  </w:style>
  <w:style w:type="paragraph" w:styleId="Heading2">
    <w:name w:val="heading 2"/>
    <w:basedOn w:val="Normal"/>
    <w:next w:val="BodyText"/>
    <w:link w:val="Heading2Char"/>
    <w:qFormat/>
    <w:rsid w:val="00A73390"/>
    <w:pPr>
      <w:keepNext/>
      <w:numPr>
        <w:ilvl w:val="2"/>
        <w:numId w:val="1"/>
      </w:numPr>
      <w:spacing w:before="240" w:after="60" w:line="360" w:lineRule="auto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BodyText"/>
    <w:link w:val="Heading3Char"/>
    <w:qFormat/>
    <w:rsid w:val="00A73390"/>
    <w:pPr>
      <w:keepNext/>
      <w:numPr>
        <w:ilvl w:val="3"/>
        <w:numId w:val="1"/>
      </w:numPr>
      <w:spacing w:before="240" w:after="60" w:line="360" w:lineRule="auto"/>
      <w:outlineLvl w:val="2"/>
    </w:pPr>
    <w:rPr>
      <w:rFonts w:eastAsiaTheme="majorEastAsia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A73390"/>
    <w:pPr>
      <w:keepNext/>
      <w:numPr>
        <w:ilvl w:val="4"/>
        <w:numId w:val="1"/>
      </w:numPr>
      <w:spacing w:before="240" w:after="60" w:line="360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73390"/>
    <w:pPr>
      <w:numPr>
        <w:ilvl w:val="5"/>
        <w:numId w:val="1"/>
      </w:numPr>
      <w:spacing w:before="240" w:after="60" w:line="360" w:lineRule="auto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73390"/>
    <w:pPr>
      <w:numPr>
        <w:ilvl w:val="6"/>
        <w:numId w:val="1"/>
      </w:numPr>
      <w:spacing w:before="240" w:after="60" w:line="360" w:lineRule="auto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qFormat/>
    <w:rsid w:val="00A73390"/>
    <w:pPr>
      <w:numPr>
        <w:ilvl w:val="7"/>
        <w:numId w:val="1"/>
      </w:numPr>
      <w:spacing w:before="240" w:after="60" w:line="360" w:lineRule="auto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A73390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3390"/>
    <w:rPr>
      <w:rFonts w:eastAsiaTheme="majorEastAsia" w:cstheme="majorBidi"/>
      <w:caps/>
      <w:sz w:val="24"/>
      <w:szCs w:val="24"/>
      <w:lang w:val="es-PE" w:eastAsia="de-DE"/>
    </w:rPr>
  </w:style>
  <w:style w:type="character" w:customStyle="1" w:styleId="Heading2Char">
    <w:name w:val="Heading 2 Char"/>
    <w:basedOn w:val="DefaultParagraphFont"/>
    <w:link w:val="Heading2"/>
    <w:rsid w:val="00A73390"/>
    <w:rPr>
      <w:rFonts w:eastAsiaTheme="majorEastAsi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73390"/>
    <w:rPr>
      <w:rFonts w:eastAsiaTheme="majorEastAsia" w:cs="Arial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A73390"/>
    <w:rPr>
      <w:rFonts w:eastAsiaTheme="maj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73390"/>
    <w:rPr>
      <w:rFonts w:eastAsiaTheme="majorEastAsia" w:cstheme="majorBid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A73390"/>
    <w:rPr>
      <w:rFonts w:eastAsiaTheme="maj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73390"/>
    <w:rPr>
      <w:rFonts w:eastAsiaTheme="maj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73390"/>
    <w:rPr>
      <w:rFonts w:ascii="Arial" w:eastAsiaTheme="majorEastAsia" w:hAnsi="Arial" w:cs="Arial"/>
      <w:sz w:val="22"/>
      <w:szCs w:val="22"/>
    </w:rPr>
  </w:style>
  <w:style w:type="paragraph" w:customStyle="1" w:styleId="Chapter">
    <w:name w:val="Chapter"/>
    <w:basedOn w:val="Normal"/>
    <w:next w:val="BodyText"/>
    <w:rsid w:val="00A73390"/>
    <w:pPr>
      <w:pageBreakBefore/>
      <w:numPr>
        <w:numId w:val="1"/>
      </w:numPr>
      <w:spacing w:line="480" w:lineRule="auto"/>
      <w:jc w:val="center"/>
      <w:outlineLvl w:val="0"/>
    </w:pPr>
  </w:style>
  <w:style w:type="paragraph" w:styleId="BodyText">
    <w:name w:val="Body Text"/>
    <w:basedOn w:val="Normal"/>
    <w:link w:val="BodyTextChar"/>
    <w:rsid w:val="00A7339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73390"/>
    <w:rPr>
      <w:sz w:val="24"/>
      <w:szCs w:val="24"/>
    </w:rPr>
  </w:style>
  <w:style w:type="character" w:styleId="Hyperlink">
    <w:name w:val="Hyperlink"/>
    <w:basedOn w:val="DefaultParagraphFont"/>
    <w:rsid w:val="00125AB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5AB8"/>
    <w:rPr>
      <w:color w:val="808080"/>
    </w:rPr>
  </w:style>
  <w:style w:type="paragraph" w:styleId="BalloonText">
    <w:name w:val="Balloon Text"/>
    <w:basedOn w:val="Normal"/>
    <w:link w:val="BalloonTextChar"/>
    <w:rsid w:val="00125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5AB8"/>
    <w:rPr>
      <w:rFonts w:ascii="Tahoma" w:hAnsi="Tahoma" w:cs="Tahoma"/>
      <w:sz w:val="16"/>
      <w:szCs w:val="16"/>
    </w:rPr>
  </w:style>
  <w:style w:type="table" w:styleId="TableClassic1">
    <w:name w:val="Table Classic 1"/>
    <w:basedOn w:val="TableNormal"/>
    <w:rsid w:val="00CA02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3390"/>
    <w:pPr>
      <w:pageBreakBefore/>
      <w:spacing w:line="480" w:lineRule="auto"/>
      <w:outlineLvl w:val="0"/>
    </w:pPr>
    <w:rPr>
      <w:rFonts w:eastAsiaTheme="majorEastAsia" w:cstheme="majorBidi"/>
      <w:caps/>
      <w:lang w:val="es-PE" w:eastAsia="de-DE"/>
    </w:rPr>
  </w:style>
  <w:style w:type="paragraph" w:styleId="Heading2">
    <w:name w:val="heading 2"/>
    <w:basedOn w:val="Normal"/>
    <w:next w:val="BodyText"/>
    <w:link w:val="Heading2Char"/>
    <w:qFormat/>
    <w:rsid w:val="00A73390"/>
    <w:pPr>
      <w:keepNext/>
      <w:numPr>
        <w:ilvl w:val="2"/>
        <w:numId w:val="1"/>
      </w:numPr>
      <w:spacing w:before="240" w:after="60" w:line="360" w:lineRule="auto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BodyText"/>
    <w:link w:val="Heading3Char"/>
    <w:qFormat/>
    <w:rsid w:val="00A73390"/>
    <w:pPr>
      <w:keepNext/>
      <w:numPr>
        <w:ilvl w:val="3"/>
        <w:numId w:val="1"/>
      </w:numPr>
      <w:spacing w:before="240" w:after="60" w:line="360" w:lineRule="auto"/>
      <w:outlineLvl w:val="2"/>
    </w:pPr>
    <w:rPr>
      <w:rFonts w:eastAsiaTheme="majorEastAsia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A73390"/>
    <w:pPr>
      <w:keepNext/>
      <w:numPr>
        <w:ilvl w:val="4"/>
        <w:numId w:val="1"/>
      </w:numPr>
      <w:spacing w:before="240" w:after="60" w:line="360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73390"/>
    <w:pPr>
      <w:numPr>
        <w:ilvl w:val="5"/>
        <w:numId w:val="1"/>
      </w:numPr>
      <w:spacing w:before="240" w:after="60" w:line="360" w:lineRule="auto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73390"/>
    <w:pPr>
      <w:numPr>
        <w:ilvl w:val="6"/>
        <w:numId w:val="1"/>
      </w:numPr>
      <w:spacing w:before="240" w:after="60" w:line="360" w:lineRule="auto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qFormat/>
    <w:rsid w:val="00A73390"/>
    <w:pPr>
      <w:numPr>
        <w:ilvl w:val="7"/>
        <w:numId w:val="1"/>
      </w:numPr>
      <w:spacing w:before="240" w:after="60" w:line="360" w:lineRule="auto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A73390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3390"/>
    <w:rPr>
      <w:rFonts w:eastAsiaTheme="majorEastAsia" w:cstheme="majorBidi"/>
      <w:caps/>
      <w:sz w:val="24"/>
      <w:szCs w:val="24"/>
      <w:lang w:val="es-PE" w:eastAsia="de-DE"/>
    </w:rPr>
  </w:style>
  <w:style w:type="character" w:customStyle="1" w:styleId="Heading2Char">
    <w:name w:val="Heading 2 Char"/>
    <w:basedOn w:val="DefaultParagraphFont"/>
    <w:link w:val="Heading2"/>
    <w:rsid w:val="00A73390"/>
    <w:rPr>
      <w:rFonts w:eastAsiaTheme="majorEastAsi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73390"/>
    <w:rPr>
      <w:rFonts w:eastAsiaTheme="majorEastAsia" w:cs="Arial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A73390"/>
    <w:rPr>
      <w:rFonts w:eastAsiaTheme="maj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73390"/>
    <w:rPr>
      <w:rFonts w:eastAsiaTheme="majorEastAsia" w:cstheme="majorBid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A73390"/>
    <w:rPr>
      <w:rFonts w:eastAsiaTheme="maj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73390"/>
    <w:rPr>
      <w:rFonts w:eastAsiaTheme="maj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73390"/>
    <w:rPr>
      <w:rFonts w:ascii="Arial" w:eastAsiaTheme="majorEastAsia" w:hAnsi="Arial" w:cs="Arial"/>
      <w:sz w:val="22"/>
      <w:szCs w:val="22"/>
    </w:rPr>
  </w:style>
  <w:style w:type="paragraph" w:customStyle="1" w:styleId="Chapter">
    <w:name w:val="Chapter"/>
    <w:basedOn w:val="Normal"/>
    <w:next w:val="BodyText"/>
    <w:rsid w:val="00A73390"/>
    <w:pPr>
      <w:pageBreakBefore/>
      <w:numPr>
        <w:numId w:val="1"/>
      </w:numPr>
      <w:spacing w:line="480" w:lineRule="auto"/>
      <w:jc w:val="center"/>
      <w:outlineLvl w:val="0"/>
    </w:pPr>
  </w:style>
  <w:style w:type="paragraph" w:styleId="BodyText">
    <w:name w:val="Body Text"/>
    <w:basedOn w:val="Normal"/>
    <w:link w:val="BodyTextChar"/>
    <w:rsid w:val="00A7339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73390"/>
    <w:rPr>
      <w:sz w:val="24"/>
      <w:szCs w:val="24"/>
    </w:rPr>
  </w:style>
  <w:style w:type="character" w:styleId="Hyperlink">
    <w:name w:val="Hyperlink"/>
    <w:basedOn w:val="DefaultParagraphFont"/>
    <w:rsid w:val="00125AB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5AB8"/>
    <w:rPr>
      <w:color w:val="808080"/>
    </w:rPr>
  </w:style>
  <w:style w:type="paragraph" w:styleId="BalloonText">
    <w:name w:val="Balloon Text"/>
    <w:basedOn w:val="Normal"/>
    <w:link w:val="BalloonTextChar"/>
    <w:rsid w:val="00125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5AB8"/>
    <w:rPr>
      <w:rFonts w:ascii="Tahoma" w:hAnsi="Tahoma" w:cs="Tahoma"/>
      <w:sz w:val="16"/>
      <w:szCs w:val="16"/>
    </w:rPr>
  </w:style>
  <w:style w:type="table" w:styleId="TableClassic1">
    <w:name w:val="Table Classic 1"/>
    <w:basedOn w:val="TableNormal"/>
    <w:rsid w:val="00CA02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816D8-6E22-4C20-B26F-45251EB7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Tobler</dc:creator>
  <cp:lastModifiedBy>Mathias Tobler</cp:lastModifiedBy>
  <cp:revision>57</cp:revision>
  <dcterms:created xsi:type="dcterms:W3CDTF">2013-09-30T20:13:00Z</dcterms:created>
  <dcterms:modified xsi:type="dcterms:W3CDTF">2015-01-16T18:57:00Z</dcterms:modified>
</cp:coreProperties>
</file>