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Growth</w:t>
      </w:r>
      <w:r>
        <w:t xml:space="preserve"> </w:t>
      </w:r>
      <w:r>
        <w:t xml:space="preserve">of</w:t>
      </w:r>
      <w:r>
        <w:t xml:space="preserve"> </w:t>
      </w:r>
      <w:r>
        <w:t xml:space="preserve">Piura,</w:t>
      </w:r>
      <w:r>
        <w:t xml:space="preserve"> </w:t>
      </w:r>
      <w:r>
        <w:t xml:space="preserve">Peru,</w:t>
      </w:r>
      <w:r>
        <w:t xml:space="preserve"> </w:t>
      </w:r>
      <w:r>
        <w:t xml:space="preserve">2020</w:t>
      </w:r>
      <w:r>
        <w:t xml:space="preserve"> </w:t>
      </w:r>
      <w:r>
        <w:t xml:space="preserve">to</w:t>
      </w:r>
      <w:r>
        <w:t xml:space="preserve"> </w:t>
      </w:r>
      <w:r>
        <w:t xml:space="preserve">2025</w:t>
      </w:r>
    </w:p>
    <w:p>
      <w:pPr>
        <w:pStyle w:val="FirstParagraph"/>
      </w:pPr>
      <w:r>
        <w:rPr>
          <w:bCs/>
          <w:b/>
        </w:rPr>
        <w:t xml:space="preserve">856.114 GeoHumanitarian Action</w:t>
      </w:r>
    </w:p>
    <w:p>
      <w:pPr>
        <w:pStyle w:val="BodyText"/>
      </w:pPr>
      <w:r>
        <w:rPr>
          <w:bCs/>
          <w:b/>
        </w:rPr>
        <w:t xml:space="preserve">Homework Assignment 2: Building Footprints and Rasterized Population Data</w:t>
      </w:r>
    </w:p>
    <w:p>
      <w:pPr>
        <w:pStyle w:val="BodyText"/>
      </w:pPr>
      <w:r>
        <w:t xml:space="preserve">Student: Samuel Appiah Kubi · Student ID: </w:t>
      </w:r>
      <w:r>
        <w:rPr>
          <w:highlight w:val="yellow"/>
        </w:rPr>
        <w:t xml:space="preserve">[FILL: your student ID]</w:t>
      </w:r>
    </w:p>
    <w:p>
      <w:pPr>
        <w:pStyle w:val="BodyText"/>
      </w:pPr>
      <w:r>
        <w:t xml:space="preserve">University of Salzburg, Copernicus Master in Digital Earth</w:t>
      </w:r>
    </w:p>
    <w:p>
      <w:pPr>
        <w:pStyle w:val="BodyText"/>
      </w:pPr>
      <w:r>
        <w:t xml:space="preserve">Date: 30.10.2026</w:t>
      </w:r>
    </w:p>
    <w:p>
      <w:pPr>
        <w:pStyle w:val="BodyText"/>
      </w:pPr>
      <w:r>
        <w:t xml:space="preserve">Notebook: piura_growth_pygeovision.ipynb (Jupyter) and piura_growth_pygeovision.py (marimo), submitted with this report</w:t>
      </w:r>
    </w:p>
    <w:bookmarkStart w:id="22" w:name="introduction"/>
    <w:p>
      <w:pPr>
        <w:pStyle w:val="Heading1"/>
      </w:pPr>
      <w:r>
        <w:t xml:space="preserve">1. Introduction</w:t>
      </w:r>
    </w:p>
    <w:p>
      <w:pPr>
        <w:pStyle w:val="FirstParagraph"/>
      </w:pPr>
      <w:r>
        <w:t xml:space="preserve">World Population Review describes Piura as the fastest growing city in Peru (</w:t>
      </w:r>
      <w:hyperlink r:id="rId20">
        <w:r>
          <w:rPr>
            <w:rStyle w:val="Hyperlink"/>
          </w:rPr>
          <w:t xml:space="preserve">Piura Population 2026</w:t>
        </w:r>
      </w:hyperlink>
      <w:r>
        <w:t xml:space="preserve">). This report tests that statement for 2020 to 2025 with rasterized population data and building data. It answers four questions:</w:t>
      </w:r>
    </w:p>
    <w:p>
      <w:pPr>
        <w:numPr>
          <w:ilvl w:val="0"/>
          <w:numId w:val="1001"/>
        </w:numPr>
        <w:pStyle w:val="Compact"/>
      </w:pPr>
      <w:r>
        <w:t xml:space="preserve">Do the datasets show the same growth rate as the World Population Review source?</w:t>
      </w:r>
    </w:p>
    <w:p>
      <w:pPr>
        <w:numPr>
          <w:ilvl w:val="0"/>
          <w:numId w:val="1001"/>
        </w:numPr>
        <w:pStyle w:val="Compact"/>
      </w:pPr>
      <w:r>
        <w:t xml:space="preserve">What is the annual growth rate of building footprint extent?</w:t>
      </w:r>
    </w:p>
    <w:p>
      <w:pPr>
        <w:numPr>
          <w:ilvl w:val="0"/>
          <w:numId w:val="1001"/>
        </w:numPr>
        <w:pStyle w:val="Compact"/>
      </w:pPr>
      <w:r>
        <w:t xml:space="preserve">Where is the city growing in extent?</w:t>
      </w:r>
    </w:p>
    <w:p>
      <w:pPr>
        <w:numPr>
          <w:ilvl w:val="0"/>
          <w:numId w:val="1001"/>
        </w:numPr>
        <w:pStyle w:val="Compact"/>
      </w:pPr>
      <w:r>
        <w:t xml:space="preserve">Where do we observe growth in building volume?</w:t>
      </w:r>
    </w:p>
    <w:p>
      <w:pPr>
        <w:pStyle w:val="FirstParagraph"/>
      </w:pPr>
      <w:r>
        <w:t xml:space="preserve">The analysis runs in a notebook rebuilt from the Session 2 marimo script, available as a marimo file and as a Jupyter notebook. It needs</w:t>
      </w:r>
      <w:r>
        <w:t xml:space="preserve"> </w:t>
      </w:r>
      <w:r>
        <w:rPr>
          <w:bCs/>
          <w:b/>
        </w:rPr>
        <w:t xml:space="preserve">no Google Earth Engine account</w:t>
      </w:r>
      <w:r>
        <w:t xml:space="preserve">: every dataset comes from an open source.</w:t>
      </w:r>
    </w:p>
    <w:p>
      <w:pPr>
        <w:numPr>
          <w:ilvl w:val="0"/>
          <w:numId w:val="1002"/>
        </w:numPr>
        <w:pStyle w:val="Compact"/>
      </w:pPr>
      <w:r>
        <w:rPr>
          <w:bCs/>
          <w:b/>
        </w:rPr>
        <w:t xml:space="preserve">Building footprints</w:t>
      </w:r>
      <w:r>
        <w:t xml:space="preserve"> </w:t>
      </w:r>
      <w:r>
        <w:t xml:space="preserve">are extracted with</w:t>
      </w:r>
      <w:r>
        <w:t xml:space="preserve"> </w:t>
      </w:r>
      <w:r>
        <w:rPr>
          <w:bCs/>
          <w:b/>
        </w:rPr>
        <w:t xml:space="preserve">pygeovision 2.2.0</w:t>
      </w:r>
      <w:r>
        <w:t xml:space="preserve"> </w:t>
      </w:r>
      <w:r>
        <w:t xml:space="preserve">(Appiah Kubi, 2026;</w:t>
      </w:r>
      <w:r>
        <w:t xml:space="preserve"> </w:t>
      </w:r>
      <w:hyperlink r:id="rId21">
        <w:r>
          <w:rPr>
            <w:rStyle w:val="Hyperlink"/>
          </w:rPr>
          <w:t xml:space="preserve">documentation</w:t>
        </w:r>
      </w:hyperlink>
      <w:r>
        <w:t xml:space="preserve">), an open-source Python package that reads the Microsoft, Google and OpenStreetMap footprint datasets for a bounding box, measures every polygon in the local UTM zone and returns density rasters and statistics in one call.</w:t>
      </w:r>
    </w:p>
    <w:p>
      <w:pPr>
        <w:numPr>
          <w:ilvl w:val="0"/>
          <w:numId w:val="1002"/>
        </w:numPr>
        <w:pStyle w:val="Compact"/>
      </w:pPr>
      <w:r>
        <w:rPr>
          <w:bCs/>
          <w:b/>
        </w:rPr>
        <w:t xml:space="preserve">Built-up change 2020–2023</w:t>
      </w:r>
      <w:r>
        <w:t xml:space="preserve"> </w:t>
      </w:r>
      <w:r>
        <w:t xml:space="preserve">comes from the Esri 10 m annual land cover through the pygeovision</w:t>
      </w:r>
      <w:r>
        <w:t xml:space="preserve"> </w:t>
      </w:r>
      <w:r>
        <w:rPr>
          <w:rStyle w:val="VerbatimChar"/>
        </w:rPr>
        <w:t xml:space="preserve">urban_expansion</w:t>
      </w:r>
      <w:r>
        <w:t xml:space="preserve"> </w:t>
      </w:r>
      <w:r>
        <w:t xml:space="preserve">pipeline (Microsoft Planetary Computer).</w:t>
      </w:r>
    </w:p>
    <w:p>
      <w:pPr>
        <w:numPr>
          <w:ilvl w:val="0"/>
          <w:numId w:val="1002"/>
        </w:numPr>
        <w:pStyle w:val="Compact"/>
      </w:pPr>
      <w:r>
        <w:rPr>
          <w:bCs/>
          <w:b/>
        </w:rPr>
        <w:t xml:space="preserve">The Sentinel-2 image</w:t>
      </w:r>
      <w:r>
        <w:t xml:space="preserve"> </w:t>
      </w:r>
      <w:r>
        <w:t xml:space="preserve">is searched on the Microsoft Planetary Computer and read with pygeovision’s grid reader.</w:t>
      </w:r>
    </w:p>
    <w:p>
      <w:pPr>
        <w:numPr>
          <w:ilvl w:val="0"/>
          <w:numId w:val="1002"/>
        </w:numPr>
        <w:pStyle w:val="Compact"/>
      </w:pPr>
      <w:r>
        <w:rPr>
          <w:bCs/>
          <w:b/>
        </w:rPr>
        <w:t xml:space="preserve">Population, built-up surface and built-up volume for 2020 and 2025</w:t>
      </w:r>
      <w:r>
        <w:t xml:space="preserve"> </w:t>
      </w:r>
      <w:r>
        <w:t xml:space="preserve">come from the Global Human Settlement Layer (GHSL R2023A), downloaded as 100 m tiles from the JRC open-data server.</w:t>
      </w:r>
    </w:p>
    <w:p>
      <w:pPr>
        <w:pStyle w:val="FirstParagraph"/>
      </w:pPr>
      <w:r>
        <w:rPr>
          <w:bCs/>
          <w:b/>
        </w:rPr>
        <w:t xml:space="preserve">Summary of findings.</w:t>
      </w:r>
      <w:r>
        <w:t xml:space="preserve"> </w:t>
      </w:r>
      <w:r>
        <w:t xml:space="preserve">In the AOI, GHS_POP population grew 2.94% per year from 2020 to 2025, slightly above the 2.75% on the website, but the city-wide raster rate is only 1.16% per year. Building footprint extent (GHS_BUILT_S) grew 1.70% per year and building volume (GHS_BUILT_V) 1.97% per year in the AOI, against only 0.13% and 0.08% per year for the whole city. The Esri land cover gives about 1.1% per year net growth of built-up area from 2020 to 2023, with a gross gain of 16.8 ha and a gross loss of 11.2 ha. New built-up surface and the largest volume gains concentrate in a few 100 m cells in the south-west of the AOI, around the southern building cluster, and along the Río Piura on its western and northern edges; the dense housing on the eastern edge hardly changes. Growth is mostly horizontal, with a slight increase in mean building height.</w:t>
      </w:r>
    </w:p>
    <w:bookmarkEnd w:id="22"/>
    <w:bookmarkStart w:id="26" w:name="study-area-and-area-of-interest"/>
    <w:p>
      <w:pPr>
        <w:pStyle w:val="Heading1"/>
      </w:pPr>
      <w:r>
        <w:t xml:space="preserve">2. Study Area and Area of Interest</w:t>
      </w:r>
    </w:p>
    <w:p>
      <w:pPr>
        <w:pStyle w:val="FirstParagraph"/>
      </w:pPr>
      <w:r>
        <w:t xml:space="preserve">The area of interest (AOI) is a 2.76 km² box (1.66 km × 1.66 km) on the north-eastern edge of the urban area of Piura. Its bounds (EPSG:4326) are west -80.625, south -5.180, east -80.610 and north -5.165.</w:t>
      </w:r>
    </w:p>
    <w:p>
      <w:pPr>
        <w:pStyle w:val="BodyText"/>
      </w:pPr>
      <w:r>
        <w:t xml:space="preserve">The AOI sits where irrigated farmland meets residential neighbourhoods, the kind of urban fringe where growth shows first. It covers about 17 × 17 cells of the 100 m GHSL grid. For population and for a city-wide comparison, a second, larger box around the whole city is used (bounds -80.70, -5.26, -80.55, -5.13, about 16.7 km by 14.5 km). Both boxes fall in the same GHSL tile (R10_C10).</w:t>
      </w:r>
    </w:p>
    <w:p>
      <w:pPr>
        <w:pStyle w:val="BodyText"/>
      </w:pPr>
      <w:r>
        <w:t xml:space="preserve">Figure 1 shows the AOI (white box) on high-resolution satellite imagery from the notebook’s interactive map, with the Microsoft footprints read by pygeovision in red. The embanked bed of the Río Piura crosses the western part from south-west to north-east, and a narrow irrigation canal runs north–south east of the centre. Gridded fields fill the south-centre, with orchards and trees north of them. The buildings cluster around the edges: a dense block in the north-east, rows of houses along the eastern edge and on the western bank of the river, and a cluster of larger buildings among trees in the south-west, between the river and the fields.</w:t>
      </w:r>
    </w:p>
    <w:p>
      <w:pPr>
        <w:pStyle w:val="CaptionedFigure"/>
      </w:pPr>
      <w:r>
        <w:drawing>
          <wp:inline>
            <wp:extent cx="5334000" cy="3220768"/>
            <wp:effectExtent b="0" l="0" r="0" t="0"/>
            <wp:docPr descr="Figure 1. Study area: the AOI (white box) with Microsoft building footprints read with pygeovision (red) on Esri World Imagery, from the interactive map saved by the notebook (figures/interactive_map.html)." title="" id="24" name="Picture"/>
            <a:graphic>
              <a:graphicData uri="http://schemas.openxmlformats.org/drawingml/2006/picture">
                <pic:pic>
                  <pic:nvPicPr>
                    <pic:cNvPr descr="figures/fig_study_highres.png" id="25" name="Picture"/>
                    <pic:cNvPicPr>
                      <a:picLocks noChangeArrowheads="1" noChangeAspect="1"/>
                    </pic:cNvPicPr>
                  </pic:nvPicPr>
                  <pic:blipFill>
                    <a:blip r:embed="rId23"/>
                    <a:stretch>
                      <a:fillRect/>
                    </a:stretch>
                  </pic:blipFill>
                  <pic:spPr bwMode="auto">
                    <a:xfrm>
                      <a:off x="0" y="0"/>
                      <a:ext cx="5334000" cy="3220768"/>
                    </a:xfrm>
                    <a:prstGeom prst="rect">
                      <a:avLst/>
                    </a:prstGeom>
                    <a:noFill/>
                    <a:ln w="9525">
                      <a:noFill/>
                      <a:headEnd/>
                      <a:tailEnd/>
                    </a:ln>
                  </pic:spPr>
                </pic:pic>
              </a:graphicData>
            </a:graphic>
          </wp:inline>
        </w:drawing>
      </w:r>
    </w:p>
    <w:p>
      <w:pPr>
        <w:pStyle w:val="ImageCaption"/>
        <w:jc w:val="center"/>
      </w:pPr>
      <w:r>
        <w:rPr>
          <w:sz w:val="22"/>
        </w:rPr>
        <w:t xml:space="preserve">Figure 1. Study area: the AOI (white box) with Microsoft building footprints read with pygeovision (red) on Esri World Imagery, from the interactive map saved by the notebook (figures/interactive_map.html).</w:t>
      </w:r>
    </w:p>
    <w:bookmarkEnd w:id="26"/>
    <w:bookmarkStart w:id="31" w:name="data-and-methods"/>
    <w:p>
      <w:pPr>
        <w:pStyle w:val="Heading1"/>
      </w:pPr>
      <w:r>
        <w:t xml:space="preserve">3. Data and Methods</w:t>
      </w:r>
    </w:p>
    <w:bookmarkStart w:id="27" w:name="datasets"/>
    <w:p>
      <w:pPr>
        <w:pStyle w:val="Heading2"/>
      </w:pPr>
      <w:r>
        <w:t xml:space="preserve">3.1 Datasets</w:t>
      </w:r>
    </w:p>
    <w:p>
      <w:pPr>
        <w:pStyle w:val="FirstParagraph"/>
      </w:pPr>
      <w:r>
        <w:t xml:space="preserve">The three footprint datasets are single snapshots: they show what exists but not how it changed. Growth is therefore measured with datasets that use the same method in two or more years: GHSL (2020 and 2025) and the Esri land cover (2020 and 2023).</w:t>
      </w:r>
    </w:p>
    <w:p>
      <w:pPr>
        <w:pStyle w:val="BodyText"/>
        <w:jc w:val="left"/>
      </w:pPr>
      <w:r>
        <w:rPr>
          <w:iCs/>
          <w:i/>
          <w:sz w:val="22"/>
        </w:rPr>
        <w:t xml:space="preserve">Table 1. Datasets used and what each returned for the AOI.</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fill="E7E6E6"/>
          </w:tcPr>
          <w:p>
            <w:pPr>
              <w:pStyle w:val="Compact"/>
              <w:jc w:val="left"/>
            </w:pPr>
            <w:r>
              <w:rPr>
                <w:b/>
                <w:sz w:val="20"/>
              </w:rPr>
              <w:t xml:space="preserve">Dataset</w:t>
            </w:r>
          </w:p>
        </w:tc>
        <w:tc>
          <w:tcPr>
            <w:shd w:val="clear" w:fill="E7E6E6"/>
          </w:tcPr>
          <w:p>
            <w:pPr>
              <w:pStyle w:val="Compact"/>
              <w:jc w:val="left"/>
            </w:pPr>
            <w:r>
              <w:rPr>
                <w:b/>
                <w:sz w:val="20"/>
              </w:rPr>
              <w:t xml:space="preserve">Type and access (no account)</w:t>
            </w:r>
          </w:p>
        </w:tc>
        <w:tc>
          <w:tcPr>
            <w:shd w:val="clear" w:fill="E7E6E6"/>
          </w:tcPr>
          <w:p>
            <w:pPr>
              <w:pStyle w:val="Compact"/>
              <w:jc w:val="left"/>
            </w:pPr>
            <w:r>
              <w:rPr>
                <w:b/>
                <w:sz w:val="20"/>
              </w:rPr>
              <w:t xml:space="preserve">Used for</w:t>
            </w:r>
          </w:p>
        </w:tc>
        <w:tc>
          <w:tcPr>
            <w:shd w:val="clear" w:fill="E7E6E6"/>
          </w:tcPr>
          <w:p>
            <w:pPr>
              <w:pStyle w:val="Compact"/>
              <w:jc w:val="left"/>
            </w:pPr>
            <w:r>
              <w:rPr>
                <w:b/>
                <w:sz w:val="20"/>
              </w:rPr>
              <w:t xml:space="preserve">Result in the AOI</w:t>
            </w:r>
          </w:p>
        </w:tc>
      </w:tr>
      <w:tr>
        <w:tc>
          <w:tcPr/>
          <w:p>
            <w:pPr>
              <w:pStyle w:val="Compact"/>
              <w:jc w:val="left"/>
            </w:pPr>
            <w:r>
              <w:rPr>
                <w:sz w:val="20"/>
              </w:rPr>
              <w:t xml:space="preserve">Microsoft Global ML Building Footprints</w:t>
            </w:r>
          </w:p>
        </w:tc>
        <w:tc>
          <w:tcPr/>
          <w:p>
            <w:pPr>
              <w:pStyle w:val="Compact"/>
              <w:jc w:val="left"/>
            </w:pPr>
            <w:r>
              <w:rPr>
                <w:sz w:val="20"/>
              </w:rPr>
              <w:t xml:space="preserve">Vector polygons, one snapshot; pygeovision building_footprints, source =</w:t>
            </w:r>
            <w:r>
              <w:rPr>
                <w:sz w:val="20"/>
              </w:rPr>
              <w:t xml:space="preserve"> </w:t>
            </w:r>
            <w:r>
              <w:rPr>
                <w:sz w:val="20"/>
              </w:rPr>
              <w:t xml:space="preserve">“</w:t>
            </w:r>
            <w:r>
              <w:rPr>
                <w:sz w:val="20"/>
              </w:rPr>
              <w:t xml:space="preserve">microsoft</w:t>
            </w:r>
            <w:r>
              <w:rPr>
                <w:sz w:val="20"/>
              </w:rPr>
              <w:t xml:space="preserve">”</w:t>
            </w:r>
          </w:p>
        </w:tc>
        <w:tc>
          <w:tcPr/>
          <w:p>
            <w:pPr>
              <w:pStyle w:val="Compact"/>
              <w:jc w:val="left"/>
            </w:pPr>
            <w:r>
              <w:rPr>
                <w:sz w:val="20"/>
              </w:rPr>
              <w:t xml:space="preserve">Footprint comparison</w:t>
            </w:r>
          </w:p>
        </w:tc>
        <w:tc>
          <w:tcPr/>
          <w:p>
            <w:pPr>
              <w:pStyle w:val="Compact"/>
              <w:jc w:val="left"/>
            </w:pPr>
            <w:r>
              <w:rPr>
                <w:sz w:val="20"/>
              </w:rPr>
              <w:t xml:space="preserve">604 buildings, 13.83 ha</w:t>
            </w:r>
          </w:p>
        </w:tc>
      </w:tr>
      <w:tr>
        <w:tc>
          <w:tcPr/>
          <w:p>
            <w:pPr>
              <w:pStyle w:val="Compact"/>
              <w:jc w:val="left"/>
            </w:pPr>
            <w:r>
              <w:rPr>
                <w:sz w:val="20"/>
              </w:rPr>
              <w:t xml:space="preserve">Google Open Buildings v3</w:t>
            </w:r>
          </w:p>
        </w:tc>
        <w:tc>
          <w:tcPr/>
          <w:p>
            <w:pPr>
              <w:pStyle w:val="Compact"/>
              <w:jc w:val="left"/>
            </w:pPr>
            <w:r>
              <w:rPr>
                <w:sz w:val="20"/>
              </w:rPr>
              <w:t xml:space="preserve">Vector polygons; pygeovision building_footprints, source =</w:t>
            </w:r>
            <w:r>
              <w:rPr>
                <w:sz w:val="20"/>
              </w:rPr>
              <w:t xml:space="preserve"> </w:t>
            </w:r>
            <w:r>
              <w:rPr>
                <w:sz w:val="20"/>
              </w:rPr>
              <w:t xml:space="preserve">“</w:t>
            </w:r>
            <w:r>
              <w:rPr>
                <w:sz w:val="20"/>
              </w:rPr>
              <w:t xml:space="preserve">google</w:t>
            </w:r>
            <w:r>
              <w:rPr>
                <w:sz w:val="20"/>
              </w:rPr>
              <w:t xml:space="preserve">”</w:t>
            </w:r>
            <w:r>
              <w:rPr>
                <w:sz w:val="20"/>
              </w:rPr>
              <w:t xml:space="preserve">, confidence ≥ 0.75</w:t>
            </w:r>
          </w:p>
        </w:tc>
        <w:tc>
          <w:tcPr/>
          <w:p>
            <w:pPr>
              <w:pStyle w:val="Compact"/>
              <w:jc w:val="left"/>
            </w:pPr>
            <w:r>
              <w:rPr>
                <w:sz w:val="20"/>
              </w:rPr>
              <w:t xml:space="preserve">Footprint comparison</w:t>
            </w:r>
          </w:p>
        </w:tc>
        <w:tc>
          <w:tcPr/>
          <w:p>
            <w:pPr>
              <w:pStyle w:val="Compact"/>
              <w:jc w:val="left"/>
            </w:pPr>
            <w:r>
              <w:rPr>
                <w:sz w:val="20"/>
              </w:rPr>
              <w:t xml:space="preserve">1,141 buildings, 17.27 ha</w:t>
            </w:r>
          </w:p>
        </w:tc>
      </w:tr>
      <w:tr>
        <w:tc>
          <w:tcPr/>
          <w:p>
            <w:pPr>
              <w:pStyle w:val="Compact"/>
              <w:jc w:val="left"/>
            </w:pPr>
            <w:r>
              <w:rPr>
                <w:sz w:val="20"/>
              </w:rPr>
              <w:t xml:space="preserve">OpenStreetMap</w:t>
            </w:r>
          </w:p>
        </w:tc>
        <w:tc>
          <w:tcPr/>
          <w:p>
            <w:pPr>
              <w:pStyle w:val="Compact"/>
              <w:jc w:val="left"/>
            </w:pPr>
            <w:r>
              <w:rPr>
                <w:sz w:val="20"/>
              </w:rPr>
              <w:t xml:space="preserve">Volunteer-mapped polygons via the Overpass API; pygeovision building_footprints, source =</w:t>
            </w:r>
            <w:r>
              <w:rPr>
                <w:sz w:val="20"/>
              </w:rPr>
              <w:t xml:space="preserve"> </w:t>
            </w:r>
            <w:r>
              <w:rPr>
                <w:sz w:val="20"/>
              </w:rPr>
              <w:t xml:space="preserve">“</w:t>
            </w:r>
            <w:r>
              <w:rPr>
                <w:sz w:val="20"/>
              </w:rPr>
              <w:t xml:space="preserve">osm</w:t>
            </w:r>
            <w:r>
              <w:rPr>
                <w:sz w:val="20"/>
              </w:rPr>
              <w:t xml:space="preserve">”</w:t>
            </w:r>
          </w:p>
        </w:tc>
        <w:tc>
          <w:tcPr/>
          <w:p>
            <w:pPr>
              <w:pStyle w:val="Compact"/>
              <w:jc w:val="left"/>
            </w:pPr>
            <w:r>
              <w:rPr>
                <w:sz w:val="20"/>
              </w:rPr>
              <w:t xml:space="preserve">Footprint comparison, building types</w:t>
            </w:r>
          </w:p>
        </w:tc>
        <w:tc>
          <w:tcPr/>
          <w:p>
            <w:pPr>
              <w:pStyle w:val="Compact"/>
              <w:jc w:val="left"/>
            </w:pPr>
            <w:r>
              <w:rPr>
                <w:sz w:val="20"/>
              </w:rPr>
              <w:t xml:space="preserve">321 buildings, 9.68 ha</w:t>
            </w:r>
          </w:p>
        </w:tc>
      </w:tr>
      <w:tr>
        <w:tc>
          <w:tcPr/>
          <w:p>
            <w:pPr>
              <w:pStyle w:val="Compact"/>
              <w:jc w:val="left"/>
            </w:pPr>
            <w:r>
              <w:rPr>
                <w:sz w:val="20"/>
              </w:rPr>
              <w:t xml:space="preserve">GHSL GHS_POP R2023A</w:t>
            </w:r>
          </w:p>
        </w:tc>
        <w:tc>
          <w:tcPr/>
          <w:p>
            <w:pPr>
              <w:pStyle w:val="Compact"/>
              <w:jc w:val="left"/>
            </w:pPr>
            <w:r>
              <w:rPr>
                <w:sz w:val="20"/>
              </w:rPr>
              <w:t xml:space="preserve">Raster, 100 m, residential population, epochs 2020 and 2025; JRC open-data tiles</w:t>
            </w:r>
          </w:p>
        </w:tc>
        <w:tc>
          <w:tcPr/>
          <w:p>
            <w:pPr>
              <w:pStyle w:val="Compact"/>
              <w:jc w:val="left"/>
            </w:pPr>
            <w:r>
              <w:rPr>
                <w:sz w:val="20"/>
              </w:rPr>
              <w:t xml:space="preserve">Question 1</w:t>
            </w:r>
          </w:p>
        </w:tc>
        <w:tc>
          <w:tcPr/>
          <w:p>
            <w:pPr>
              <w:pStyle w:val="Compact"/>
              <w:jc w:val="left"/>
            </w:pPr>
            <w:r>
              <w:rPr>
                <w:sz w:val="20"/>
              </w:rPr>
              <w:t xml:space="preserve">+2.94% per year (city box +1.16%)</w:t>
            </w:r>
          </w:p>
        </w:tc>
      </w:tr>
      <w:tr>
        <w:tc>
          <w:tcPr/>
          <w:p>
            <w:pPr>
              <w:pStyle w:val="Compact"/>
              <w:jc w:val="left"/>
            </w:pPr>
            <w:r>
              <w:rPr>
                <w:sz w:val="20"/>
              </w:rPr>
              <w:t xml:space="preserve">GHSL GHS_BUILT_S R2023A</w:t>
            </w:r>
          </w:p>
        </w:tc>
        <w:tc>
          <w:tcPr/>
          <w:p>
            <w:pPr>
              <w:pStyle w:val="Compact"/>
              <w:jc w:val="left"/>
            </w:pPr>
            <w:r>
              <w:rPr>
                <w:sz w:val="20"/>
              </w:rPr>
              <w:t xml:space="preserve">Raster, 100 m, built-up surface (m² per cell), epochs 2020 and 2025; JRC open-data tiles</w:t>
            </w:r>
          </w:p>
        </w:tc>
        <w:tc>
          <w:tcPr/>
          <w:p>
            <w:pPr>
              <w:pStyle w:val="Compact"/>
              <w:jc w:val="left"/>
            </w:pPr>
            <w:r>
              <w:rPr>
                <w:sz w:val="20"/>
              </w:rPr>
              <w:t xml:space="preserve">Questions 2 and 3</w:t>
            </w:r>
          </w:p>
        </w:tc>
        <w:tc>
          <w:tcPr/>
          <w:p>
            <w:pPr>
              <w:pStyle w:val="Compact"/>
              <w:jc w:val="left"/>
            </w:pPr>
            <w:r>
              <w:rPr>
                <w:sz w:val="20"/>
              </w:rPr>
              <w:t xml:space="preserve">+1.70% per year (city box +0.13%)</w:t>
            </w:r>
          </w:p>
        </w:tc>
      </w:tr>
      <w:tr>
        <w:tc>
          <w:tcPr/>
          <w:p>
            <w:pPr>
              <w:pStyle w:val="Compact"/>
              <w:jc w:val="left"/>
            </w:pPr>
            <w:r>
              <w:rPr>
                <w:sz w:val="20"/>
              </w:rPr>
              <w:t xml:space="preserve">GHSL GHS_BUILT_V R2023A</w:t>
            </w:r>
          </w:p>
        </w:tc>
        <w:tc>
          <w:tcPr/>
          <w:p>
            <w:pPr>
              <w:pStyle w:val="Compact"/>
              <w:jc w:val="left"/>
            </w:pPr>
            <w:r>
              <w:rPr>
                <w:sz w:val="20"/>
              </w:rPr>
              <w:t xml:space="preserve">Raster, 100 m, built-up volume (m³ per cell), epochs 2020 and 2025; JRC open-data tiles</w:t>
            </w:r>
          </w:p>
        </w:tc>
        <w:tc>
          <w:tcPr/>
          <w:p>
            <w:pPr>
              <w:pStyle w:val="Compact"/>
              <w:jc w:val="left"/>
            </w:pPr>
            <w:r>
              <w:rPr>
                <w:sz w:val="20"/>
              </w:rPr>
              <w:t xml:space="preserve">Question 4</w:t>
            </w:r>
          </w:p>
        </w:tc>
        <w:tc>
          <w:tcPr/>
          <w:p>
            <w:pPr>
              <w:pStyle w:val="Compact"/>
              <w:jc w:val="left"/>
            </w:pPr>
            <w:r>
              <w:rPr>
                <w:sz w:val="20"/>
              </w:rPr>
              <w:t xml:space="preserve">+1.97% per year (city box +0.08%)</w:t>
            </w:r>
          </w:p>
        </w:tc>
      </w:tr>
      <w:tr>
        <w:tc>
          <w:tcPr/>
          <w:p>
            <w:pPr>
              <w:pStyle w:val="Compact"/>
              <w:jc w:val="left"/>
            </w:pPr>
            <w:r>
              <w:rPr>
                <w:sz w:val="20"/>
              </w:rPr>
              <w:t xml:space="preserve">Esri / Impact Observatory 10 m Annual Land Cover v02</w:t>
            </w:r>
          </w:p>
        </w:tc>
        <w:tc>
          <w:tcPr/>
          <w:p>
            <w:pPr>
              <w:pStyle w:val="Compact"/>
              <w:jc w:val="left"/>
            </w:pPr>
            <w:r>
              <w:rPr>
                <w:sz w:val="20"/>
              </w:rPr>
              <w:t xml:space="preserve">Raster, yearly 2017–2023, built-up class; pygeovision urban_expansion (Planetary Computer)</w:t>
            </w:r>
          </w:p>
        </w:tc>
        <w:tc>
          <w:tcPr/>
          <w:p>
            <w:pPr>
              <w:pStyle w:val="Compact"/>
              <w:jc w:val="left"/>
            </w:pPr>
            <w:r>
              <w:rPr>
                <w:sz w:val="20"/>
              </w:rPr>
              <w:t xml:space="preserve">Questions 2 and 3, independent check</w:t>
            </w:r>
          </w:p>
        </w:tc>
        <w:tc>
          <w:tcPr/>
          <w:p>
            <w:pPr>
              <w:pStyle w:val="Compact"/>
              <w:jc w:val="left"/>
            </w:pPr>
            <w:r>
              <w:rPr>
                <w:sz w:val="20"/>
              </w:rPr>
              <w:t xml:space="preserve">+16.8 ha gained, −11.2 ha lost (2020–2023)</w:t>
            </w:r>
          </w:p>
        </w:tc>
      </w:tr>
      <w:tr>
        <w:tc>
          <w:tcPr/>
          <w:p>
            <w:pPr>
              <w:pStyle w:val="Compact"/>
              <w:jc w:val="left"/>
            </w:pPr>
            <w:r>
              <w:rPr>
                <w:sz w:val="20"/>
              </w:rPr>
              <w:t xml:space="preserve">Sentinel-2 L2A</w:t>
            </w:r>
          </w:p>
        </w:tc>
        <w:tc>
          <w:tcPr/>
          <w:p>
            <w:pPr>
              <w:pStyle w:val="Compact"/>
              <w:jc w:val="left"/>
            </w:pPr>
            <w:r>
              <w:rPr>
                <w:sz w:val="20"/>
              </w:rPr>
              <w:t xml:space="preserve">10 m true-colour image; Microsoft Planetary Computer, read with pygeovision</w:t>
            </w:r>
          </w:p>
        </w:tc>
        <w:tc>
          <w:tcPr/>
          <w:p>
            <w:pPr>
              <w:pStyle w:val="Compact"/>
              <w:jc w:val="left"/>
            </w:pPr>
            <w:r>
              <w:rPr>
                <w:sz w:val="20"/>
              </w:rPr>
              <w:t xml:space="preserve">Visual context</w:t>
            </w:r>
          </w:p>
        </w:tc>
        <w:tc>
          <w:tcPr/>
          <w:p>
            <w:pPr>
              <w:pStyle w:val="Compact"/>
              <w:jc w:val="left"/>
            </w:pPr>
            <w:r>
              <w:rPr>
                <w:sz w:val="20"/>
              </w:rPr>
              <w:t xml:space="preserve">Image of 5 October 2026</w:t>
            </w:r>
          </w:p>
        </w:tc>
      </w:tr>
    </w:tbl>
    <w:bookmarkEnd w:id="27"/>
    <w:bookmarkStart w:id="28" w:name="why-pygeovision-and-why-no-earth-engine"/>
    <w:p>
      <w:pPr>
        <w:pStyle w:val="Heading2"/>
      </w:pPr>
      <w:r>
        <w:t xml:space="preserve">3.2 Why pygeovision, and why no Earth Engine</w:t>
      </w:r>
    </w:p>
    <w:p>
      <w:pPr>
        <w:pStyle w:val="FirstParagraph"/>
      </w:pPr>
      <w:r>
        <w:t xml:space="preserve">The Session 2 script read Google Open Buildings, Sentinel-2 and GHS_POP through Google Earth Engine, which needs an account and a cloud project. This notebook avoids that.</w:t>
      </w:r>
    </w:p>
    <w:p>
      <w:pPr>
        <w:pStyle w:val="BodyText"/>
      </w:pPr>
      <w:r>
        <w:rPr>
          <w:bCs/>
          <w:b/>
        </w:rPr>
        <w:t xml:space="preserve">Building footprints.</w:t>
      </w:r>
      <w:r>
        <w:t xml:space="preserve"> </w:t>
      </w:r>
      <w:r>
        <w:t xml:space="preserve">In Session 2 each source needed its own code: a mercantile quadkey lookup for Microsoft, an Earth Engine feature download for Google and osmnx for OSM. pygeovision replaces all three with one call,</w:t>
      </w:r>
      <w:r>
        <w:t xml:space="preserve"> </w:t>
      </w:r>
      <w:r>
        <w:rPr>
          <w:rStyle w:val="VerbatimChar"/>
        </w:rPr>
        <w:t xml:space="preserve">client.pipeline("building_footprints", bbox=..., source=...)</w:t>
      </w:r>
      <w:r>
        <w:t xml:space="preserve">. Every run returns the same outputs, which makes the sources directly comparable:</w:t>
      </w:r>
    </w:p>
    <w:p>
      <w:pPr>
        <w:numPr>
          <w:ilvl w:val="0"/>
          <w:numId w:val="1003"/>
        </w:numPr>
        <w:pStyle w:val="Compact"/>
      </w:pPr>
      <w:r>
        <w:t xml:space="preserve">a GeoPackage (layer</w:t>
      </w:r>
      <w:r>
        <w:t xml:space="preserve"> </w:t>
      </w:r>
      <w:r>
        <w:rPr>
          <w:rStyle w:val="VerbatimChar"/>
        </w:rPr>
        <w:t xml:space="preserve">buildings</w:t>
      </w:r>
      <w:r>
        <w:t xml:space="preserve">) with one polygon per building and its area in m², measured in UTM zone 17S;</w:t>
      </w:r>
    </w:p>
    <w:p>
      <w:pPr>
        <w:numPr>
          <w:ilvl w:val="0"/>
          <w:numId w:val="1003"/>
        </w:numPr>
        <w:pStyle w:val="Compact"/>
      </w:pPr>
      <w:r>
        <w:rPr>
          <w:rStyle w:val="VerbatimChar"/>
        </w:rPr>
        <w:t xml:space="preserve">building_density.tif</w:t>
      </w:r>
      <w:r>
        <w:t xml:space="preserve"> </w:t>
      </w:r>
      <w:r>
        <w:t xml:space="preserve">(share of each 100 m cell covered by buildings) and</w:t>
      </w:r>
      <w:r>
        <w:t xml:space="preserve"> </w:t>
      </w:r>
      <w:r>
        <w:rPr>
          <w:rStyle w:val="VerbatimChar"/>
        </w:rPr>
        <w:t xml:space="preserve">building_count.tif</w:t>
      </w:r>
      <w:r>
        <w:t xml:space="preserve">;</w:t>
      </w:r>
    </w:p>
    <w:p>
      <w:pPr>
        <w:numPr>
          <w:ilvl w:val="0"/>
          <w:numId w:val="1003"/>
        </w:numPr>
        <w:pStyle w:val="Compact"/>
      </w:pPr>
      <w:r>
        <w:rPr>
          <w:rStyle w:val="VerbatimChar"/>
        </w:rPr>
        <w:t xml:space="preserve">result.stats</w:t>
      </w:r>
      <w:r>
        <w:t xml:space="preserve"> </w:t>
      </w:r>
      <w:r>
        <w:t xml:space="preserve">with the count, total footprint area, coverage, mean and median building size, and a note on the data source.</w:t>
      </w:r>
    </w:p>
    <w:p>
      <w:pPr>
        <w:pStyle w:val="FirstParagraph"/>
      </w:pPr>
      <w:r>
        <w:t xml:space="preserve">The call does not raise an error when a source cannot be reached; it returns</w:t>
      </w:r>
      <w:r>
        <w:t xml:space="preserve"> </w:t>
      </w:r>
      <w:r>
        <w:rPr>
          <w:rStyle w:val="VerbatimChar"/>
        </w:rPr>
        <w:t xml:space="preserve">success=False</w:t>
      </w:r>
      <w:r>
        <w:t xml:space="preserve"> </w:t>
      </w:r>
      <w:r>
        <w:t xml:space="preserve">with the reason, which the notebook prints as a status table (all three sources returned</w:t>
      </w:r>
      <w:r>
        <w:t xml:space="preserve"> </w:t>
      </w:r>
      <w:r>
        <w:rPr>
          <w:rStyle w:val="VerbatimChar"/>
        </w:rPr>
        <w:t xml:space="preserve">success=True</w:t>
      </w:r>
      <w:r>
        <w:t xml:space="preserve">). pygeovision reads the published datasets; it does not detect buildings on our own imagery, which would need a trained network and cannot resolve single houses at 10 m.</w:t>
      </w:r>
    </w:p>
    <w:p>
      <w:pPr>
        <w:pStyle w:val="BodyText"/>
      </w:pPr>
      <w:r>
        <w:rPr>
          <w:bCs/>
          <w:b/>
        </w:rPr>
        <w:t xml:space="preserve">Built-up change and imagery.</w:t>
      </w:r>
      <w:r>
        <w:t xml:space="preserve"> </w:t>
      </w:r>
      <w:r>
        <w:t xml:space="preserve">pygeovision’s</w:t>
      </w:r>
      <w:r>
        <w:t xml:space="preserve"> </w:t>
      </w:r>
      <w:r>
        <w:rPr>
          <w:rStyle w:val="VerbatimChar"/>
        </w:rPr>
        <w:t xml:space="preserve">urban_expansion</w:t>
      </w:r>
      <w:r>
        <w:t xml:space="preserve"> </w:t>
      </w:r>
      <w:r>
        <w:t xml:space="preserve">pipeline and its Planetary Computer reader (</w:t>
      </w:r>
      <w:r>
        <w:rPr>
          <w:rStyle w:val="VerbatimChar"/>
        </w:rPr>
        <w:t xml:space="preserve">PlanetaryComputer</w:t>
      </w:r>
      <w:r>
        <w:t xml:space="preserve">,</w:t>
      </w:r>
      <w:r>
        <w:t xml:space="preserve"> </w:t>
      </w:r>
      <w:r>
        <w:rPr>
          <w:rStyle w:val="VerbatimChar"/>
        </w:rPr>
        <w:t xml:space="preserve">make_grid</w:t>
      </w:r>
      <w:r>
        <w:t xml:space="preserve">,</w:t>
      </w:r>
      <w:r>
        <w:t xml:space="preserve"> </w:t>
      </w:r>
      <w:r>
        <w:rPr>
          <w:rStyle w:val="VerbatimChar"/>
        </w:rPr>
        <w:t xml:space="preserve">read_to_grid</w:t>
      </w:r>
      <w:r>
        <w:t xml:space="preserve">) give the Esri land-cover change and the Sentinel-2 image, both resampled to a fixed grid in UTM 17S.</w:t>
      </w:r>
    </w:p>
    <w:p>
      <w:pPr>
        <w:pStyle w:val="BodyText"/>
      </w:pPr>
      <w:r>
        <w:rPr>
          <w:bCs/>
          <w:b/>
        </w:rPr>
        <w:t xml:space="preserve">Growth over time.</w:t>
      </w:r>
      <w:r>
        <w:t xml:space="preserve"> </w:t>
      </w:r>
      <w:r>
        <w:t xml:space="preserve">The assignment suggests the Open Buildings 2.5D Temporal dataset, but it is distributed through Earth Engine only. GHSL built-up surface (GHS_BUILT_S) and built-up volume (GHS_BUILT_V) answer the same questions — footprint extent and building volume per 100 m cell — and are free to download. They also cover the assignment period exactly (2020 and 2025), while the 2.5D Temporal dataset ends in 2023.</w:t>
      </w:r>
    </w:p>
    <w:bookmarkEnd w:id="28"/>
    <w:bookmarkStart w:id="29" w:name="workflow-in-the-notebook"/>
    <w:p>
      <w:pPr>
        <w:pStyle w:val="Heading2"/>
      </w:pPr>
      <w:r>
        <w:t xml:space="preserve">3.3 Workflow in the notebook</w:t>
      </w:r>
    </w:p>
    <w:p>
      <w:pPr>
        <w:pStyle w:val="FirstParagraph"/>
      </w:pPr>
      <w:r>
        <w:t xml:space="preserve">The notebook follows the Session 2 structure. The code of the main steps is listed in Appendix A, and the code behind each answer in Appendix B.</w:t>
      </w:r>
    </w:p>
    <w:p>
      <w:pPr>
        <w:numPr>
          <w:ilvl w:val="0"/>
          <w:numId w:val="1004"/>
        </w:numPr>
        <w:pStyle w:val="Compact"/>
      </w:pPr>
      <w:r>
        <w:t xml:space="preserve">Set the AOI, the city box, UTM zone 17S (EPSG:32717), World Mollweide (the GHSL grid) and the epochs.</w:t>
      </w:r>
    </w:p>
    <w:p>
      <w:pPr>
        <w:numPr>
          <w:ilvl w:val="0"/>
          <w:numId w:val="1004"/>
        </w:numPr>
        <w:pStyle w:val="Compact"/>
      </w:pPr>
      <w:r>
        <w:t xml:space="preserve">Start the pygeovision client and run</w:t>
      </w:r>
      <w:r>
        <w:t xml:space="preserve"> </w:t>
      </w:r>
      <w:r>
        <w:rPr>
          <w:rStyle w:val="VerbatimChar"/>
        </w:rPr>
        <w:t xml:space="preserve">building_footprints</w:t>
      </w:r>
      <w:r>
        <w:t xml:space="preserve"> </w:t>
      </w:r>
      <w:r>
        <w:t xml:space="preserve">once per source (Microsoft, Google, OSM); read each GeoPackage.</w:t>
      </w:r>
    </w:p>
    <w:p>
      <w:pPr>
        <w:numPr>
          <w:ilvl w:val="0"/>
          <w:numId w:val="1004"/>
        </w:numPr>
        <w:pStyle w:val="Compact"/>
      </w:pPr>
      <w:r>
        <w:t xml:space="preserve">Search Sentinel-2 L2A on the Planetary Computer for the last 12 months, keep the newest date whose scene classification shows less than 5% cloud, shadow or no data over the AOI (5 October 2026), and read its true-colour bands on a 10 m grid.</w:t>
      </w:r>
    </w:p>
    <w:p>
      <w:pPr>
        <w:numPr>
          <w:ilvl w:val="0"/>
          <w:numId w:val="1004"/>
        </w:numPr>
        <w:pStyle w:val="Compact"/>
      </w:pPr>
      <w:r>
        <w:t xml:space="preserve">Compare the three footprint sources on the image, by size distribution, by 100 m density and on an interactive map (saved as</w:t>
      </w:r>
      <w:r>
        <w:t xml:space="preserve"> </w:t>
      </w:r>
      <w:r>
        <w:rPr>
          <w:rStyle w:val="VerbatimChar"/>
        </w:rPr>
        <w:t xml:space="preserve">figures/interactive_map.html</w:t>
      </w:r>
      <w:r>
        <w:t xml:space="preserve">).</w:t>
      </w:r>
    </w:p>
    <w:p>
      <w:pPr>
        <w:numPr>
          <w:ilvl w:val="0"/>
          <w:numId w:val="1004"/>
        </w:numPr>
        <w:pStyle w:val="Compact"/>
      </w:pPr>
      <w:r>
        <w:t xml:space="preserve">Find the GHSL tile that holds Piura (R10_C10), download GHS_POP, GHS_BUILT_S and GHS_BUILT_V for 2020 and 2025 once, and check that each tile covers the AOI and the city box.</w:t>
      </w:r>
    </w:p>
    <w:p>
      <w:pPr>
        <w:numPr>
          <w:ilvl w:val="0"/>
          <w:numId w:val="1004"/>
        </w:numPr>
        <w:pStyle w:val="Compact"/>
      </w:pPr>
      <w:r>
        <w:t xml:space="preserve">Sum each GHSL layer over the AOI and the city box, run pygeovision</w:t>
      </w:r>
      <w:r>
        <w:t xml:space="preserve"> </w:t>
      </w:r>
      <w:r>
        <w:rPr>
          <w:rStyle w:val="VerbatimChar"/>
        </w:rPr>
        <w:t xml:space="preserve">urban_expansion</w:t>
      </w:r>
      <w:r>
        <w:t xml:space="preserve"> </w:t>
      </w:r>
      <w:r>
        <w:t xml:space="preserve">for 2020→2023, and calculate growth rates.</w:t>
      </w:r>
    </w:p>
    <w:p>
      <w:pPr>
        <w:numPr>
          <w:ilvl w:val="0"/>
          <w:numId w:val="1004"/>
        </w:numPr>
        <w:pStyle w:val="Compact"/>
      </w:pPr>
      <w:r>
        <w:t xml:space="preserve">Map where built-up surface and volume grew, cell by cell, over the Sentinel-2 image and the footprints.</w:t>
      </w:r>
    </w:p>
    <w:bookmarkEnd w:id="29"/>
    <w:bookmarkStart w:id="30" w:name="calculations"/>
    <w:p>
      <w:pPr>
        <w:pStyle w:val="Heading2"/>
      </w:pPr>
      <w:r>
        <w:t xml:space="preserve">3.4 Calculations</w:t>
      </w:r>
    </w:p>
    <w:p>
      <w:pPr>
        <w:pStyle w:val="FirstParagraph"/>
      </w:pPr>
      <w:r>
        <w:t xml:space="preserve">Annual growth rate (compound annual growth rate, n = number of years):</w:t>
      </w:r>
    </w:p>
    <w:p>
      <w:pPr>
        <w:pStyle w:val="BodyText"/>
      </w:pPr>
      <w:r>
        <w:rPr>
          <w:iCs/>
          <w:i/>
        </w:rPr>
        <w:t xml:space="preserve">CAGR = (V</w:t>
      </w:r>
      <w:r>
        <w:rPr>
          <w:vertAlign w:val="subscript"/>
        </w:rPr>
        <w:t xml:space="preserve">end</w:t>
      </w:r>
      <w:r>
        <w:t xml:space="preserve"> </w:t>
      </w:r>
      <w:r>
        <w:rPr>
          <w:iCs/>
          <w:i/>
        </w:rPr>
        <w:t xml:space="preserve">/ V</w:t>
      </w:r>
      <w:r>
        <w:rPr>
          <w:vertAlign w:val="subscript"/>
        </w:rPr>
        <w:t xml:space="preserve">start</w:t>
      </w:r>
      <w:r>
        <w:rPr>
          <w:iCs/>
          <w:i/>
        </w:rPr>
        <w:t xml:space="preserve">)</w:t>
      </w:r>
      <w:r>
        <w:rPr>
          <w:vertAlign w:val="superscript"/>
        </w:rPr>
        <w:t xml:space="preserve">1/n</w:t>
      </w:r>
      <w:r>
        <w:t xml:space="preserve"> </w:t>
      </w:r>
      <w:r>
        <w:rPr>
          <w:iCs/>
          <w:i/>
        </w:rPr>
        <w:t xml:space="preserve">− 1</w:t>
      </w:r>
    </w:p>
    <w:p>
      <w:pPr>
        <w:numPr>
          <w:ilvl w:val="0"/>
          <w:numId w:val="1005"/>
        </w:numPr>
        <w:pStyle w:val="Compact"/>
      </w:pPr>
      <w:r>
        <w:t xml:space="preserve">Sums over an area: every GHSL 100 m cell whose centre lies inside the AOI or the city box is summed on its native Mollweide grid.</w:t>
      </w:r>
    </w:p>
    <w:p>
      <w:pPr>
        <w:numPr>
          <w:ilvl w:val="0"/>
          <w:numId w:val="1005"/>
        </w:numPr>
        <w:pStyle w:val="Compact"/>
      </w:pPr>
      <w:r>
        <w:t xml:space="preserve">Footprint extent = Σ GHS_BUILT_S (m²); building volume = Σ GHS_BUILT_V (m³); n = 5 years (2020–2025).</w:t>
      </w:r>
    </w:p>
    <w:p>
      <w:pPr>
        <w:numPr>
          <w:ilvl w:val="0"/>
          <w:numId w:val="1005"/>
        </w:numPr>
        <w:pStyle w:val="Compact"/>
      </w:pPr>
      <w:r>
        <w:t xml:space="preserve">Mean building height = volume ÷ footprint extent, so its annual change is (1 + volume growth) ÷ (1 + extent growth) − 1. In the same way, the change in people per square metre of built-up surface is (1 + population growth) ÷ (1 + extent growth) − 1.</w:t>
      </w:r>
    </w:p>
    <w:p>
      <w:pPr>
        <w:numPr>
          <w:ilvl w:val="0"/>
          <w:numId w:val="1005"/>
        </w:numPr>
        <w:pStyle w:val="Compact"/>
      </w:pPr>
      <w:r>
        <w:t xml:space="preserve">Esri built-up growth: built-up area in 2020 and 2023, n = 3 years, from pygeovision</w:t>
      </w:r>
      <w:r>
        <w:t xml:space="preserve"> </w:t>
      </w:r>
      <w:r>
        <w:rPr>
          <w:rStyle w:val="VerbatimChar"/>
        </w:rPr>
        <w:t xml:space="preserve">urban_expansion</w:t>
      </w:r>
      <w:r>
        <w:t xml:space="preserve">, which also maps each 10 m pixel as not built, built in both years, new or lost.</w:t>
      </w:r>
    </w:p>
    <w:p>
      <w:pPr>
        <w:numPr>
          <w:ilvl w:val="0"/>
          <w:numId w:val="1005"/>
        </w:numPr>
        <w:pStyle w:val="Compact"/>
      </w:pPr>
      <w:r>
        <w:t xml:space="preserve">Maps: GHSL is resampled (nearest neighbour) from Mollweide to a 100 m grid in UTM 17S so it can be drawn over Sentinel-2 and the footprints. Gain = 2025 − 2020 per cell.</w:t>
      </w:r>
    </w:p>
    <w:bookmarkEnd w:id="30"/>
    <w:bookmarkEnd w:id="31"/>
    <w:bookmarkStart w:id="61" w:name="results-and-discussion"/>
    <w:p>
      <w:pPr>
        <w:pStyle w:val="Heading1"/>
      </w:pPr>
      <w:r>
        <w:t xml:space="preserve">4. Results and Discussion</w:t>
      </w:r>
    </w:p>
    <w:bookmarkStart w:id="41" w:name="building-footprints-from-pygeovision"/>
    <w:p>
      <w:pPr>
        <w:pStyle w:val="Heading2"/>
      </w:pPr>
      <w:r>
        <w:t xml:space="preserve">4.1 Building footprints from pygeovision</w:t>
      </w:r>
    </w:p>
    <w:p>
      <w:pPr>
        <w:pStyle w:val="FirstParagraph"/>
      </w:pPr>
      <w:r>
        <w:t xml:space="preserve">The three sources disagree strongly on how many buildings the AOI contains: 321 (OSM), 604 (Microsoft) and 1,141 (Google). Table 2 gives the statistics pygeovision returned for each run, and Figure 2 shows the polygons on the same Sentinel-2 image.</w:t>
      </w:r>
    </w:p>
    <w:p>
      <w:pPr>
        <w:pStyle w:val="BodyText"/>
        <w:jc w:val="left"/>
      </w:pPr>
      <w:r>
        <w:rPr>
          <w:iCs/>
          <w:i/>
          <w:sz w:val="22"/>
        </w:rPr>
        <w:t xml:space="preserve">Table 2. pygeovision building_footprints statistics per source.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shd w:val="clear" w:fill="E7E6E6"/>
          </w:tcPr>
          <w:p>
            <w:pPr>
              <w:pStyle w:val="Compact"/>
              <w:jc w:val="left"/>
            </w:pPr>
            <w:r>
              <w:rPr>
                <w:b/>
                <w:sz w:val="20"/>
              </w:rPr>
              <w:t xml:space="preserve">Source</w:t>
            </w:r>
          </w:p>
        </w:tc>
        <w:tc>
          <w:tcPr>
            <w:shd w:val="clear" w:fill="E7E6E6"/>
          </w:tcPr>
          <w:p>
            <w:pPr>
              <w:pStyle w:val="Compact"/>
              <w:jc w:val="left"/>
            </w:pPr>
            <w:r>
              <w:rPr>
                <w:b/>
                <w:sz w:val="20"/>
              </w:rPr>
              <w:t xml:space="preserve">Buildings</w:t>
            </w:r>
          </w:p>
        </w:tc>
        <w:tc>
          <w:tcPr>
            <w:shd w:val="clear" w:fill="E7E6E6"/>
          </w:tcPr>
          <w:p>
            <w:pPr>
              <w:pStyle w:val="Compact"/>
              <w:jc w:val="left"/>
            </w:pPr>
            <w:r>
              <w:rPr>
                <w:b/>
                <w:sz w:val="20"/>
              </w:rPr>
              <w:t xml:space="preserve">Footprint area (ha)</w:t>
            </w:r>
          </w:p>
        </w:tc>
        <w:tc>
          <w:tcPr>
            <w:shd w:val="clear" w:fill="E7E6E6"/>
          </w:tcPr>
          <w:p>
            <w:pPr>
              <w:pStyle w:val="Compact"/>
              <w:jc w:val="left"/>
            </w:pPr>
            <w:r>
              <w:rPr>
                <w:b/>
                <w:sz w:val="20"/>
              </w:rPr>
              <w:t xml:space="preserve">Coverage of AOI (%)</w:t>
            </w:r>
          </w:p>
        </w:tc>
        <w:tc>
          <w:tcPr>
            <w:shd w:val="clear" w:fill="E7E6E6"/>
          </w:tcPr>
          <w:p>
            <w:pPr>
              <w:pStyle w:val="Compact"/>
              <w:jc w:val="left"/>
            </w:pPr>
            <w:r>
              <w:rPr>
                <w:b/>
                <w:sz w:val="20"/>
              </w:rPr>
              <w:t xml:space="preserve">Buildings per km²</w:t>
            </w:r>
          </w:p>
        </w:tc>
        <w:tc>
          <w:tcPr>
            <w:shd w:val="clear" w:fill="E7E6E6"/>
          </w:tcPr>
          <w:p>
            <w:pPr>
              <w:pStyle w:val="Compact"/>
              <w:jc w:val="left"/>
            </w:pPr>
            <w:r>
              <w:rPr>
                <w:b/>
                <w:sz w:val="20"/>
              </w:rPr>
              <w:t xml:space="preserve">Mean size (m²)</w:t>
            </w:r>
          </w:p>
        </w:tc>
        <w:tc>
          <w:tcPr>
            <w:shd w:val="clear" w:fill="E7E6E6"/>
          </w:tcPr>
          <w:p>
            <w:pPr>
              <w:pStyle w:val="Compact"/>
              <w:jc w:val="left"/>
            </w:pPr>
            <w:r>
              <w:rPr>
                <w:b/>
                <w:sz w:val="20"/>
              </w:rPr>
              <w:t xml:space="preserve">Median size (m²)</w:t>
            </w:r>
          </w:p>
        </w:tc>
      </w:tr>
      <w:tr>
        <w:tc>
          <w:tcPr/>
          <w:p>
            <w:pPr>
              <w:pStyle w:val="Compact"/>
              <w:jc w:val="left"/>
            </w:pPr>
            <w:r>
              <w:rPr>
                <w:sz w:val="20"/>
              </w:rPr>
              <w:t xml:space="preserve">Microsoft</w:t>
            </w:r>
          </w:p>
        </w:tc>
        <w:tc>
          <w:tcPr/>
          <w:p>
            <w:pPr>
              <w:pStyle w:val="Compact"/>
              <w:jc w:val="left"/>
            </w:pPr>
            <w:r>
              <w:rPr>
                <w:sz w:val="20"/>
              </w:rPr>
              <w:t xml:space="preserve">604</w:t>
            </w:r>
          </w:p>
        </w:tc>
        <w:tc>
          <w:tcPr/>
          <w:p>
            <w:pPr>
              <w:pStyle w:val="Compact"/>
              <w:jc w:val="left"/>
            </w:pPr>
            <w:r>
              <w:rPr>
                <w:sz w:val="20"/>
              </w:rPr>
              <w:t xml:space="preserve">13.83</w:t>
            </w:r>
          </w:p>
        </w:tc>
        <w:tc>
          <w:tcPr/>
          <w:p>
            <w:pPr>
              <w:pStyle w:val="Compact"/>
              <w:jc w:val="left"/>
            </w:pPr>
            <w:r>
              <w:rPr>
                <w:sz w:val="20"/>
              </w:rPr>
              <w:t xml:space="preserve">5.0</w:t>
            </w:r>
          </w:p>
        </w:tc>
        <w:tc>
          <w:tcPr/>
          <w:p>
            <w:pPr>
              <w:pStyle w:val="Compact"/>
              <w:jc w:val="left"/>
            </w:pPr>
            <w:r>
              <w:rPr>
                <w:sz w:val="20"/>
              </w:rPr>
              <w:t xml:space="preserve">219</w:t>
            </w:r>
          </w:p>
        </w:tc>
        <w:tc>
          <w:tcPr/>
          <w:p>
            <w:pPr>
              <w:pStyle w:val="Compact"/>
              <w:jc w:val="left"/>
            </w:pPr>
            <w:r>
              <w:rPr>
                <w:sz w:val="20"/>
              </w:rPr>
              <w:t xml:space="preserve">228.9</w:t>
            </w:r>
          </w:p>
        </w:tc>
        <w:tc>
          <w:tcPr/>
          <w:p>
            <w:pPr>
              <w:pStyle w:val="Compact"/>
              <w:jc w:val="left"/>
            </w:pPr>
            <w:r>
              <w:rPr>
                <w:sz w:val="20"/>
              </w:rPr>
              <w:t xml:space="preserve">141.0</w:t>
            </w:r>
          </w:p>
        </w:tc>
      </w:tr>
      <w:tr>
        <w:tc>
          <w:tcPr/>
          <w:p>
            <w:pPr>
              <w:pStyle w:val="Compact"/>
              <w:jc w:val="left"/>
            </w:pPr>
            <w:r>
              <w:rPr>
                <w:sz w:val="20"/>
              </w:rPr>
              <w:t xml:space="preserve">Google (conf. ≥ 0.75)</w:t>
            </w:r>
          </w:p>
        </w:tc>
        <w:tc>
          <w:tcPr/>
          <w:p>
            <w:pPr>
              <w:pStyle w:val="Compact"/>
              <w:jc w:val="left"/>
            </w:pPr>
            <w:r>
              <w:rPr>
                <w:sz w:val="20"/>
              </w:rPr>
              <w:t xml:space="preserve">1,141</w:t>
            </w:r>
          </w:p>
        </w:tc>
        <w:tc>
          <w:tcPr/>
          <w:p>
            <w:pPr>
              <w:pStyle w:val="Compact"/>
              <w:jc w:val="left"/>
            </w:pPr>
            <w:r>
              <w:rPr>
                <w:sz w:val="20"/>
              </w:rPr>
              <w:t xml:space="preserve">17.27</w:t>
            </w:r>
          </w:p>
        </w:tc>
        <w:tc>
          <w:tcPr/>
          <w:p>
            <w:pPr>
              <w:pStyle w:val="Compact"/>
              <w:jc w:val="left"/>
            </w:pPr>
            <w:r>
              <w:rPr>
                <w:sz w:val="20"/>
              </w:rPr>
              <w:t xml:space="preserve">6.3</w:t>
            </w:r>
          </w:p>
        </w:tc>
        <w:tc>
          <w:tcPr/>
          <w:p>
            <w:pPr>
              <w:pStyle w:val="Compact"/>
              <w:jc w:val="left"/>
            </w:pPr>
            <w:r>
              <w:rPr>
                <w:sz w:val="20"/>
              </w:rPr>
              <w:t xml:space="preserve">414</w:t>
            </w:r>
          </w:p>
        </w:tc>
        <w:tc>
          <w:tcPr/>
          <w:p>
            <w:pPr>
              <w:pStyle w:val="Compact"/>
              <w:jc w:val="left"/>
            </w:pPr>
            <w:r>
              <w:rPr>
                <w:sz w:val="20"/>
              </w:rPr>
              <w:t xml:space="preserve">151.4</w:t>
            </w:r>
          </w:p>
        </w:tc>
        <w:tc>
          <w:tcPr/>
          <w:p>
            <w:pPr>
              <w:pStyle w:val="Compact"/>
              <w:jc w:val="left"/>
            </w:pPr>
            <w:r>
              <w:rPr>
                <w:sz w:val="20"/>
              </w:rPr>
              <w:t xml:space="preserve">95.4</w:t>
            </w:r>
          </w:p>
        </w:tc>
      </w:tr>
      <w:tr>
        <w:tc>
          <w:tcPr/>
          <w:p>
            <w:pPr>
              <w:pStyle w:val="Compact"/>
              <w:jc w:val="left"/>
            </w:pPr>
            <w:r>
              <w:rPr>
                <w:sz w:val="20"/>
              </w:rPr>
              <w:t xml:space="preserve">OpenStreetMap</w:t>
            </w:r>
          </w:p>
        </w:tc>
        <w:tc>
          <w:tcPr/>
          <w:p>
            <w:pPr>
              <w:pStyle w:val="Compact"/>
              <w:jc w:val="left"/>
            </w:pPr>
            <w:r>
              <w:rPr>
                <w:sz w:val="20"/>
              </w:rPr>
              <w:t xml:space="preserve">321</w:t>
            </w:r>
          </w:p>
        </w:tc>
        <w:tc>
          <w:tcPr/>
          <w:p>
            <w:pPr>
              <w:pStyle w:val="Compact"/>
              <w:jc w:val="left"/>
            </w:pPr>
            <w:r>
              <w:rPr>
                <w:sz w:val="20"/>
              </w:rPr>
              <w:t xml:space="preserve">9.68</w:t>
            </w:r>
          </w:p>
        </w:tc>
        <w:tc>
          <w:tcPr/>
          <w:p>
            <w:pPr>
              <w:pStyle w:val="Compact"/>
              <w:jc w:val="left"/>
            </w:pPr>
            <w:r>
              <w:rPr>
                <w:sz w:val="20"/>
              </w:rPr>
              <w:t xml:space="preserve">3.5</w:t>
            </w:r>
          </w:p>
        </w:tc>
        <w:tc>
          <w:tcPr/>
          <w:p>
            <w:pPr>
              <w:pStyle w:val="Compact"/>
              <w:jc w:val="left"/>
            </w:pPr>
            <w:r>
              <w:rPr>
                <w:sz w:val="20"/>
              </w:rPr>
              <w:t xml:space="preserve">116</w:t>
            </w:r>
          </w:p>
        </w:tc>
        <w:tc>
          <w:tcPr/>
          <w:p>
            <w:pPr>
              <w:pStyle w:val="Compact"/>
              <w:jc w:val="left"/>
            </w:pPr>
            <w:r>
              <w:rPr>
                <w:sz w:val="20"/>
              </w:rPr>
              <w:t xml:space="preserve">301.5</w:t>
            </w:r>
          </w:p>
        </w:tc>
        <w:tc>
          <w:tcPr/>
          <w:p>
            <w:pPr>
              <w:pStyle w:val="Compact"/>
              <w:jc w:val="left"/>
            </w:pPr>
            <w:r>
              <w:rPr>
                <w:sz w:val="20"/>
              </w:rPr>
              <w:t xml:space="preserve">177.0</w:t>
            </w:r>
          </w:p>
        </w:tc>
      </w:tr>
    </w:tbl>
    <w:p>
      <w:pPr>
        <w:pStyle w:val="CaptionedFigure"/>
      </w:pPr>
      <w:r>
        <w:drawing>
          <wp:inline>
            <wp:extent cx="5334000" cy="1801162"/>
            <wp:effectExtent b="0" l="0" r="0" t="0"/>
            <wp:docPr descr="Figure 2. Building footprints read with pygeovision from Microsoft (left), Google (centre) and OpenStreetMap (right) on the Sentinel-2 image of 5 October 2026." title="" id="33" name="Picture"/>
            <a:graphic>
              <a:graphicData uri="http://schemas.openxmlformats.org/drawingml/2006/picture">
                <pic:pic>
                  <pic:nvPicPr>
                    <pic:cNvPr descr="figures/fig_cmp.png" id="34" name="Picture"/>
                    <pic:cNvPicPr>
                      <a:picLocks noChangeArrowheads="1" noChangeAspect="1"/>
                    </pic:cNvPicPr>
                  </pic:nvPicPr>
                  <pic:blipFill>
                    <a:blip r:embed="rId32"/>
                    <a:stretch>
                      <a:fillRect/>
                    </a:stretch>
                  </pic:blipFill>
                  <pic:spPr bwMode="auto">
                    <a:xfrm>
                      <a:off x="0" y="0"/>
                      <a:ext cx="5334000" cy="1801162"/>
                    </a:xfrm>
                    <a:prstGeom prst="rect">
                      <a:avLst/>
                    </a:prstGeom>
                    <a:noFill/>
                    <a:ln w="9525">
                      <a:noFill/>
                      <a:headEnd/>
                      <a:tailEnd/>
                    </a:ln>
                  </pic:spPr>
                </pic:pic>
              </a:graphicData>
            </a:graphic>
          </wp:inline>
        </w:drawing>
      </w:r>
    </w:p>
    <w:p>
      <w:pPr>
        <w:pStyle w:val="ImageCaption"/>
        <w:jc w:val="center"/>
      </w:pPr>
      <w:r>
        <w:rPr>
          <w:sz w:val="22"/>
        </w:rPr>
        <w:t xml:space="preserve">Figure 2. Building footprints read with pygeovision from Microsoft (left), Google (centre) and OpenStreetMap (right) on the Sentinel-2 image of 5 October 2026.</w:t>
      </w:r>
    </w:p>
    <w:p>
      <w:pPr>
        <w:pStyle w:val="BodyText"/>
      </w:pPr>
      <w:r>
        <w:t xml:space="preserve">OSM is clearly incomplete: it maps the main clusters but far fewer of the small houses on the edges than Microsoft and Google. Almost all of its buildings carry the generic tag</w:t>
      </w:r>
      <w:r>
        <w:t xml:space="preserve"> </w:t>
      </w:r>
      <w:r>
        <w:t xml:space="preserve">“</w:t>
      </w:r>
      <w:r>
        <w:t xml:space="preserve">yes</w:t>
      </w:r>
      <w:r>
        <w:t xml:space="preserve">”</w:t>
      </w:r>
      <w:r>
        <w:t xml:space="preserve">; about 30 are tagged</w:t>
      </w:r>
      <w:r>
        <w:t xml:space="preserve"> </w:t>
      </w:r>
      <w:r>
        <w:t xml:space="preserve">“</w:t>
      </w:r>
      <w:r>
        <w:t xml:space="preserve">university</w:t>
      </w:r>
      <w:r>
        <w:t xml:space="preserve">”</w:t>
      </w:r>
      <w:r>
        <w:t xml:space="preserve">, and only a handful</w:t>
      </w:r>
      <w:r>
        <w:t xml:space="preserve"> </w:t>
      </w:r>
      <w:r>
        <w:t xml:space="preserve">“</w:t>
      </w:r>
      <w:r>
        <w:t xml:space="preserve">house</w:t>
      </w:r>
      <w:r>
        <w:t xml:space="preserve">”</w:t>
      </w:r>
      <w:r>
        <w:t xml:space="preserve">,</w:t>
      </w:r>
      <w:r>
        <w:t xml:space="preserve"> </w:t>
      </w:r>
      <w:r>
        <w:t xml:space="preserve">“</w:t>
      </w:r>
      <w:r>
        <w:t xml:space="preserve">roof</w:t>
      </w:r>
      <w:r>
        <w:t xml:space="preserve">”</w:t>
      </w:r>
      <w:r>
        <w:t xml:space="preserve">,</w:t>
      </w:r>
      <w:r>
        <w:t xml:space="preserve"> </w:t>
      </w:r>
      <w:r>
        <w:t xml:space="preserve">“</w:t>
      </w:r>
      <w:r>
        <w:t xml:space="preserve">residential</w:t>
      </w:r>
      <w:r>
        <w:t xml:space="preserve">”</w:t>
      </w:r>
      <w:r>
        <w:t xml:space="preserve"> </w:t>
      </w:r>
      <w:r>
        <w:t xml:space="preserve">or</w:t>
      </w:r>
      <w:r>
        <w:t xml:space="preserve"> </w:t>
      </w:r>
      <w:r>
        <w:t xml:space="preserve">“</w:t>
      </w:r>
      <w:r>
        <w:t xml:space="preserve">chapel</w:t>
      </w:r>
      <w:r>
        <w:t xml:space="preserve">”</w:t>
      </w:r>
      <w:r>
        <w:t xml:space="preserve">. Microsoft and Google both outline the small houses on the north-eastern, western and south-eastern edges.</w:t>
      </w:r>
    </w:p>
    <w:p>
      <w:pPr>
        <w:pStyle w:val="BodyText"/>
      </w:pPr>
      <w:r>
        <w:t xml:space="preserve">Google returns almost twice as many polygons as Microsoft, and the size distribution in Figure 3 shows why: Google’s median footprint is 95 m² against 141 m² for Microsoft and 177 m² for OSM, and it has many more buildings below 50 m². Google splits rows of attached houses into single units and also keeps small sheds, where Microsoft and OSM outline larger blocks. As a result, the total footprint area differs much less between the sources (9.7 to 17.3 ha) than the counts do (321 to 1,141). Google also contains a few long, thin polygons along the river embankment that are not buildings (Figure 2, centre).</w:t>
      </w:r>
    </w:p>
    <w:p>
      <w:pPr>
        <w:pStyle w:val="CaptionedFigure"/>
      </w:pPr>
      <w:r>
        <w:drawing>
          <wp:inline>
            <wp:extent cx="4319999" cy="2189760"/>
            <wp:effectExtent b="0" l="0" r="0" t="0"/>
            <wp:docPr descr="Figure 3. Distribution of footprint size (m², log scale) for each source." title="" id="36" name="Picture"/>
            <a:graphic>
              <a:graphicData uri="http://schemas.openxmlformats.org/drawingml/2006/picture">
                <pic:pic>
                  <pic:nvPicPr>
                    <pic:cNvPr descr="figures/fig_size.png" id="37" name="Picture"/>
                    <pic:cNvPicPr>
                      <a:picLocks noChangeArrowheads="1" noChangeAspect="1"/>
                    </pic:cNvPicPr>
                  </pic:nvPicPr>
                  <pic:blipFill>
                    <a:blip r:embed="rId35"/>
                    <a:stretch>
                      <a:fillRect/>
                    </a:stretch>
                  </pic:blipFill>
                  <pic:spPr bwMode="auto">
                    <a:xfrm>
                      <a:off x="0" y="0"/>
                      <a:ext cx="4319999" cy="2189760"/>
                    </a:xfrm>
                    <a:prstGeom prst="rect">
                      <a:avLst/>
                    </a:prstGeom>
                    <a:noFill/>
                    <a:ln w="9525">
                      <a:noFill/>
                      <a:headEnd/>
                      <a:tailEnd/>
                    </a:ln>
                  </pic:spPr>
                </pic:pic>
              </a:graphicData>
            </a:graphic>
          </wp:inline>
        </w:drawing>
      </w:r>
    </w:p>
    <w:p>
      <w:pPr>
        <w:pStyle w:val="ImageCaption"/>
        <w:jc w:val="center"/>
      </w:pPr>
      <w:r>
        <w:rPr>
          <w:sz w:val="22"/>
        </w:rPr>
        <w:t xml:space="preserve">Figure 3. Distribution of footprint size (m², log scale) for each source.</w:t>
      </w:r>
    </w:p>
    <w:p>
      <w:pPr>
        <w:pStyle w:val="BodyText"/>
      </w:pPr>
      <w:r>
        <w:t xml:space="preserve">The pygeovision density rasters (Figure 4) put the densest building cover in the same 100 m cells for all three sources: the north-eastern block (up to about 45% of the cell built), the southern cluster (about 45%) and the western and south-eastern edges (30–40%). The central farmland has almost no buildings in any source. The single very bright Google cell (about 95%) in the west-centre is an artefact: pygeovision assigns each building to the cell holding its centroid, so a long polygon on the river embankment puts its whole area into one cell. Because the datasets differ so much, absolute counts are not compared across sources; growth is measured within datasets that use one method for every year (Sections 4.3 to 4.5).</w:t>
      </w:r>
    </w:p>
    <w:p>
      <w:pPr>
        <w:pStyle w:val="CaptionedFigure"/>
      </w:pPr>
      <w:r>
        <w:drawing>
          <wp:inline>
            <wp:extent cx="5334000" cy="1697408"/>
            <wp:effectExtent b="0" l="0" r="0" t="0"/>
            <wp:docPr descr="Figure 4. Share of each 100 m cell covered by buildings (building_density.tif from pygeovision) for Microsoft, Google and OSM." title="" id="39" name="Picture"/>
            <a:graphic>
              <a:graphicData uri="http://schemas.openxmlformats.org/drawingml/2006/picture">
                <pic:pic>
                  <pic:nvPicPr>
                    <pic:cNvPr descr="figures/fig_density.png" id="40" name="Picture"/>
                    <pic:cNvPicPr>
                      <a:picLocks noChangeArrowheads="1" noChangeAspect="1"/>
                    </pic:cNvPicPr>
                  </pic:nvPicPr>
                  <pic:blipFill>
                    <a:blip r:embed="rId38"/>
                    <a:stretch>
                      <a:fillRect/>
                    </a:stretch>
                  </pic:blipFill>
                  <pic:spPr bwMode="auto">
                    <a:xfrm>
                      <a:off x="0" y="0"/>
                      <a:ext cx="5334000" cy="1697408"/>
                    </a:xfrm>
                    <a:prstGeom prst="rect">
                      <a:avLst/>
                    </a:prstGeom>
                    <a:noFill/>
                    <a:ln w="9525">
                      <a:noFill/>
                      <a:headEnd/>
                      <a:tailEnd/>
                    </a:ln>
                  </pic:spPr>
                </pic:pic>
              </a:graphicData>
            </a:graphic>
          </wp:inline>
        </w:drawing>
      </w:r>
    </w:p>
    <w:p>
      <w:pPr>
        <w:pStyle w:val="ImageCaption"/>
        <w:jc w:val="center"/>
      </w:pPr>
      <w:r>
        <w:rPr>
          <w:sz w:val="22"/>
        </w:rPr>
        <w:t xml:space="preserve">Figure 4. Share of each 100 m cell covered by buildings (building_density.tif from pygeovision) for Microsoft, Google and OSM.</w:t>
      </w:r>
    </w:p>
    <w:bookmarkEnd w:id="41"/>
    <w:bookmarkStart w:id="48" w:name="X61fbfdcd7331d05fecbf5796e2c2c6b4f7bbe65"/>
    <w:p>
      <w:pPr>
        <w:pStyle w:val="Heading2"/>
      </w:pPr>
      <w:r>
        <w:t xml:space="preserve">4.2 Question 1: Do the datasets show the same growth rate as the source?</w:t>
      </w:r>
    </w:p>
    <w:p>
      <w:pPr>
        <w:pStyle w:val="FirstParagraph"/>
      </w:pPr>
      <w:r>
        <w:t xml:space="preserve">The World Population Review page estimates the 2026 population of Piura at 609,909, up from 272,231 in 1993. It reports growth of 16,348 in the last year, an annual change of 2.75%. Working backwards, the 2025 population is 593,561, and the average growth from 1993 to 2026 is 2.47% per year. The page says its values come from the 1993–2017 census series, a 2022 projection and its own projections, so the figures after 2017 are modelled.</w:t>
      </w:r>
    </w:p>
    <w:p>
      <w:pPr>
        <w:pStyle w:val="BodyText"/>
      </w:pPr>
      <w:r>
        <w:t xml:space="preserve">From the rasterized data, GHS_POP gives the population for 2020 and 2025 in the AOI and in the city box (Table 3, Figure 5).</w:t>
      </w:r>
    </w:p>
    <w:p>
      <w:pPr>
        <w:pStyle w:val="BodyText"/>
        <w:jc w:val="left"/>
      </w:pPr>
      <w:r>
        <w:rPr>
          <w:iCs/>
          <w:i/>
          <w:sz w:val="22"/>
        </w:rPr>
        <w:t xml:space="preserve">Table 3. Population growth rates from the web source and from the GHS_POP raster.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fill="E7E6E6"/>
          </w:tcPr>
          <w:p>
            <w:pPr>
              <w:pStyle w:val="Compact"/>
              <w:jc w:val="left"/>
            </w:pPr>
            <w:r>
              <w:rPr>
                <w:b/>
                <w:sz w:val="20"/>
              </w:rPr>
              <w:t xml:space="preserve">Measure</w:t>
            </w:r>
          </w:p>
        </w:tc>
        <w:tc>
          <w:tcPr>
            <w:shd w:val="clear" w:fill="E7E6E6"/>
          </w:tcPr>
          <w:p>
            <w:pPr>
              <w:pStyle w:val="Compact"/>
              <w:jc w:val="left"/>
            </w:pPr>
            <w:r>
              <w:rPr>
                <w:b/>
                <w:sz w:val="20"/>
              </w:rPr>
              <w:t xml:space="preserve">Period</w:t>
            </w:r>
          </w:p>
        </w:tc>
        <w:tc>
          <w:tcPr>
            <w:shd w:val="clear" w:fill="E7E6E6"/>
          </w:tcPr>
          <w:p>
            <w:pPr>
              <w:pStyle w:val="Compact"/>
              <w:jc w:val="left"/>
            </w:pPr>
            <w:r>
              <w:rPr>
                <w:b/>
                <w:sz w:val="20"/>
              </w:rPr>
              <w:t xml:space="preserve">Annual growth</w:t>
            </w:r>
          </w:p>
        </w:tc>
      </w:tr>
      <w:tr>
        <w:tc>
          <w:tcPr/>
          <w:p>
            <w:pPr>
              <w:pStyle w:val="Compact"/>
              <w:jc w:val="left"/>
            </w:pPr>
            <w:r>
              <w:rPr>
                <w:sz w:val="20"/>
              </w:rPr>
              <w:t xml:space="preserve">World Population Review, whole city (593,561 → 609,909)</w:t>
            </w:r>
          </w:p>
        </w:tc>
        <w:tc>
          <w:tcPr/>
          <w:p>
            <w:pPr>
              <w:pStyle w:val="Compact"/>
              <w:jc w:val="left"/>
            </w:pPr>
            <w:r>
              <w:rPr>
                <w:sz w:val="20"/>
              </w:rPr>
              <w:t xml:space="preserve">2025–2026 (one year)</w:t>
            </w:r>
          </w:p>
        </w:tc>
        <w:tc>
          <w:tcPr/>
          <w:p>
            <w:pPr>
              <w:pStyle w:val="Compact"/>
              <w:jc w:val="left"/>
            </w:pPr>
            <w:r>
              <w:rPr>
                <w:sz w:val="20"/>
              </w:rPr>
              <w:t xml:space="preserve">2.75%</w:t>
            </w:r>
          </w:p>
        </w:tc>
      </w:tr>
      <w:tr>
        <w:tc>
          <w:tcPr/>
          <w:p>
            <w:pPr>
              <w:pStyle w:val="Compact"/>
              <w:jc w:val="left"/>
            </w:pPr>
            <w:r>
              <w:rPr>
                <w:sz w:val="20"/>
              </w:rPr>
              <w:t xml:space="preserve">World Population Review, whole city (272,231 → 609,909)</w:t>
            </w:r>
          </w:p>
        </w:tc>
        <w:tc>
          <w:tcPr/>
          <w:p>
            <w:pPr>
              <w:pStyle w:val="Compact"/>
              <w:jc w:val="left"/>
            </w:pPr>
            <w:r>
              <w:rPr>
                <w:sz w:val="20"/>
              </w:rPr>
              <w:t xml:space="preserve">1993–2026 (average)</w:t>
            </w:r>
          </w:p>
        </w:tc>
        <w:tc>
          <w:tcPr/>
          <w:p>
            <w:pPr>
              <w:pStyle w:val="Compact"/>
              <w:jc w:val="left"/>
            </w:pPr>
            <w:r>
              <w:rPr>
                <w:sz w:val="20"/>
              </w:rPr>
              <w:t xml:space="preserve">2.47%</w:t>
            </w:r>
          </w:p>
        </w:tc>
      </w:tr>
      <w:tr>
        <w:tc>
          <w:tcPr/>
          <w:p>
            <w:pPr>
              <w:pStyle w:val="Compact"/>
              <w:jc w:val="left"/>
            </w:pPr>
            <w:r>
              <w:rPr>
                <w:sz w:val="20"/>
              </w:rPr>
              <w:t xml:space="preserve">GHS_POP, AOI</w:t>
            </w:r>
          </w:p>
        </w:tc>
        <w:tc>
          <w:tcPr/>
          <w:p>
            <w:pPr>
              <w:pStyle w:val="Compact"/>
              <w:jc w:val="left"/>
            </w:pPr>
            <w:r>
              <w:rPr>
                <w:sz w:val="20"/>
              </w:rPr>
              <w:t xml:space="preserve">2020–2025 (CAGR)</w:t>
            </w:r>
          </w:p>
        </w:tc>
        <w:tc>
          <w:tcPr/>
          <w:p>
            <w:pPr>
              <w:pStyle w:val="Compact"/>
              <w:jc w:val="left"/>
            </w:pPr>
            <w:r>
              <w:rPr>
                <w:sz w:val="20"/>
              </w:rPr>
              <w:t xml:space="preserve">2.94%</w:t>
            </w:r>
          </w:p>
        </w:tc>
      </w:tr>
      <w:tr>
        <w:tc>
          <w:tcPr/>
          <w:p>
            <w:pPr>
              <w:pStyle w:val="Compact"/>
              <w:jc w:val="left"/>
            </w:pPr>
            <w:r>
              <w:rPr>
                <w:sz w:val="20"/>
              </w:rPr>
              <w:t xml:space="preserve">GHS_POP, city box</w:t>
            </w:r>
          </w:p>
        </w:tc>
        <w:tc>
          <w:tcPr/>
          <w:p>
            <w:pPr>
              <w:pStyle w:val="Compact"/>
              <w:jc w:val="left"/>
            </w:pPr>
            <w:r>
              <w:rPr>
                <w:sz w:val="20"/>
              </w:rPr>
              <w:t xml:space="preserve">2020–2025 (CAGR)</w:t>
            </w:r>
          </w:p>
        </w:tc>
        <w:tc>
          <w:tcPr/>
          <w:p>
            <w:pPr>
              <w:pStyle w:val="Compact"/>
              <w:jc w:val="left"/>
            </w:pPr>
            <w:r>
              <w:rPr>
                <w:sz w:val="20"/>
              </w:rPr>
              <w:t xml:space="preserve">1.16%</w:t>
            </w:r>
          </w:p>
        </w:tc>
      </w:tr>
    </w:tbl>
    <w:p>
      <w:pPr>
        <w:pStyle w:val="CaptionedFigure"/>
      </w:pPr>
      <w:r>
        <w:drawing>
          <wp:inline>
            <wp:extent cx="4679999" cy="2088438"/>
            <wp:effectExtent b="0" l="0" r="0" t="0"/>
            <wp:docPr descr="Figure 5. Annual population growth: World Population Review against GHS_POP for the AOI and the city box." title="" id="43" name="Picture"/>
            <a:graphic>
              <a:graphicData uri="http://schemas.openxmlformats.org/drawingml/2006/picture">
                <pic:pic>
                  <pic:nvPicPr>
                    <pic:cNvPr descr="figures/fig_rates.png" id="44" name="Picture"/>
                    <pic:cNvPicPr>
                      <a:picLocks noChangeArrowheads="1" noChangeAspect="1"/>
                    </pic:cNvPicPr>
                  </pic:nvPicPr>
                  <pic:blipFill>
                    <a:blip r:embed="rId42"/>
                    <a:stretch>
                      <a:fillRect/>
                    </a:stretch>
                  </pic:blipFill>
                  <pic:spPr bwMode="auto">
                    <a:xfrm>
                      <a:off x="0" y="0"/>
                      <a:ext cx="4679999" cy="2088438"/>
                    </a:xfrm>
                    <a:prstGeom prst="rect">
                      <a:avLst/>
                    </a:prstGeom>
                    <a:noFill/>
                    <a:ln w="9525">
                      <a:noFill/>
                      <a:headEnd/>
                      <a:tailEnd/>
                    </a:ln>
                  </pic:spPr>
                </pic:pic>
              </a:graphicData>
            </a:graphic>
          </wp:inline>
        </w:drawing>
      </w:r>
    </w:p>
    <w:p>
      <w:pPr>
        <w:pStyle w:val="ImageCaption"/>
        <w:jc w:val="center"/>
      </w:pPr>
      <w:r>
        <w:rPr>
          <w:sz w:val="22"/>
        </w:rPr>
        <w:t xml:space="preserve">Figure 5. Annual population growth: World Population Review against GHS_POP for the AOI and the city box.</w:t>
      </w:r>
    </w:p>
    <w:p>
      <w:pPr>
        <w:pStyle w:val="BodyText"/>
      </w:pPr>
      <w:r>
        <w:rPr>
          <w:bCs/>
          <w:b/>
        </w:rPr>
        <w:t xml:space="preserve">Answer: only partly.</w:t>
      </w:r>
      <w:r>
        <w:t xml:space="preserve"> </w:t>
      </w:r>
      <w:r>
        <w:t xml:space="preserve">In the AOI the raster growth rate (2.94% per year) is close to, and slightly above, the 2.75% on the website. For the city as a whole it is not: the GHS_POP city box grows at only 1.16% per year, less than half the website figure.</w:t>
      </w:r>
    </w:p>
    <w:p>
      <w:pPr>
        <w:pStyle w:val="BodyText"/>
      </w:pPr>
      <w:r>
        <w:t xml:space="preserve">Several things explain the gap. The website rate is a single-year figure from modelled projections, while the raster rate is a five-year average. The city box is a rectangle and may not match the area the website counts as Piura. The 2025 GHS_POP layer is itself a projection and may smooth local growth.</w:t>
      </w:r>
    </w:p>
    <w:p>
      <w:pPr>
        <w:pStyle w:val="BodyText"/>
      </w:pPr>
      <w:r>
        <w:t xml:space="preserve">Figure 6 shows where GHS_POP places the change. Population grows almost everywhere in the built-up city, most strongly in the dense central and western districts, along the southern corridor and in the neighbourhood directly west of the AOI. Only a few isolated cells near the centre lose people. Inside the AOI, which is mostly farmland, only a handful of cells change, but from a small base, so the relative growth is high. The AOI is on the urban edge, so its match with the website figure suggests that the headline 2.75% reflects growth at the fringe rather than the city as a whole. This analysis cannot confirm that Piura is the fastest growing city in Peru, because other cities were not compared.</w:t>
      </w:r>
    </w:p>
    <w:p>
      <w:pPr>
        <w:pStyle w:val="CaptionedFigure"/>
      </w:pPr>
      <w:r>
        <w:drawing>
          <wp:inline>
            <wp:extent cx="4679999" cy="3780374"/>
            <wp:effectExtent b="0" l="0" r="0" t="0"/>
            <wp:docPr descr="Figure 6. Change in GHS_POP population 2020–2025 per 100 m cell in the city box (native Mollweide grid); the black outline is the AOI. The colour scale is capped at ±12 people per cell." title="" id="46" name="Picture"/>
            <a:graphic>
              <a:graphicData uri="http://schemas.openxmlformats.org/drawingml/2006/picture">
                <pic:pic>
                  <pic:nvPicPr>
                    <pic:cNvPr descr="figures/fig_popmap.png" id="47" name="Picture"/>
                    <pic:cNvPicPr>
                      <a:picLocks noChangeArrowheads="1" noChangeAspect="1"/>
                    </pic:cNvPicPr>
                  </pic:nvPicPr>
                  <pic:blipFill>
                    <a:blip r:embed="rId45"/>
                    <a:stretch>
                      <a:fillRect/>
                    </a:stretch>
                  </pic:blipFill>
                  <pic:spPr bwMode="auto">
                    <a:xfrm>
                      <a:off x="0" y="0"/>
                      <a:ext cx="4679999" cy="3780374"/>
                    </a:xfrm>
                    <a:prstGeom prst="rect">
                      <a:avLst/>
                    </a:prstGeom>
                    <a:noFill/>
                    <a:ln w="9525">
                      <a:noFill/>
                      <a:headEnd/>
                      <a:tailEnd/>
                    </a:ln>
                  </pic:spPr>
                </pic:pic>
              </a:graphicData>
            </a:graphic>
          </wp:inline>
        </w:drawing>
      </w:r>
    </w:p>
    <w:p>
      <w:pPr>
        <w:pStyle w:val="ImageCaption"/>
        <w:jc w:val="center"/>
      </w:pPr>
      <w:r>
        <w:rPr>
          <w:sz w:val="22"/>
        </w:rPr>
        <w:t xml:space="preserve">Figure 6. Change in GHS_POP population 2020–2025 per 100 m cell in the city box (native Mollweide grid); the black outline is the AOI. The colour scale is capped at ±12 people per cell.</w:t>
      </w:r>
    </w:p>
    <w:bookmarkEnd w:id="48"/>
    <w:bookmarkStart w:id="52" w:name="X853c92663bfec2ff4b958631b15a0946938f035"/>
    <w:p>
      <w:pPr>
        <w:pStyle w:val="Heading2"/>
      </w:pPr>
      <w:r>
        <w:t xml:space="preserve">4.3 Question 2: What is the annual growth rate of building footprint extent?</w:t>
      </w:r>
    </w:p>
    <w:p>
      <w:pPr>
        <w:pStyle w:val="FirstParagraph"/>
      </w:pPr>
      <w:r>
        <w:t xml:space="preserve">Footprint extent was measured as the GHS_BUILT_S built-up surface summed over the AOI and the city box for 2020 and 2025, and building volume as the GHS_BUILT_V sum. Table 4 gives the annual growth rates and the changes in mean building height and in people per square metre of built-up surface that follow from them.</w:t>
      </w:r>
    </w:p>
    <w:p>
      <w:pPr>
        <w:pStyle w:val="BodyText"/>
        <w:jc w:val="left"/>
      </w:pPr>
      <w:r>
        <w:rPr>
          <w:iCs/>
          <w:i/>
          <w:sz w:val="22"/>
        </w:rPr>
        <w:t xml:space="preserve">Table 4. Annual growth 2020–2025 from GHSL, and the changes that follow from it.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fill="E7E6E6"/>
          </w:tcPr>
          <w:p>
            <w:pPr>
              <w:pStyle w:val="Compact"/>
              <w:jc w:val="left"/>
            </w:pPr>
            <w:r>
              <w:rPr>
                <w:b/>
                <w:sz w:val="20"/>
              </w:rPr>
              <w:t xml:space="preserve">Area</w:t>
            </w:r>
          </w:p>
        </w:tc>
        <w:tc>
          <w:tcPr>
            <w:shd w:val="clear" w:fill="E7E6E6"/>
          </w:tcPr>
          <w:p>
            <w:pPr>
              <w:pStyle w:val="Compact"/>
              <w:jc w:val="left"/>
            </w:pPr>
            <w:r>
              <w:rPr>
                <w:b/>
                <w:sz w:val="20"/>
              </w:rPr>
              <w:t xml:space="preserve">Population (% per year)</w:t>
            </w:r>
          </w:p>
        </w:tc>
        <w:tc>
          <w:tcPr>
            <w:shd w:val="clear" w:fill="E7E6E6"/>
          </w:tcPr>
          <w:p>
            <w:pPr>
              <w:pStyle w:val="Compact"/>
              <w:jc w:val="left"/>
            </w:pPr>
            <w:r>
              <w:rPr>
                <w:b/>
                <w:sz w:val="20"/>
              </w:rPr>
              <w:t xml:space="preserve">Footprint extent (% per year)</w:t>
            </w:r>
          </w:p>
        </w:tc>
        <w:tc>
          <w:tcPr>
            <w:shd w:val="clear" w:fill="E7E6E6"/>
          </w:tcPr>
          <w:p>
            <w:pPr>
              <w:pStyle w:val="Compact"/>
              <w:jc w:val="left"/>
            </w:pPr>
            <w:r>
              <w:rPr>
                <w:b/>
                <w:sz w:val="20"/>
              </w:rPr>
              <w:t xml:space="preserve">Volume (% per year)</w:t>
            </w:r>
          </w:p>
        </w:tc>
        <w:tc>
          <w:tcPr>
            <w:shd w:val="clear" w:fill="E7E6E6"/>
          </w:tcPr>
          <w:p>
            <w:pPr>
              <w:pStyle w:val="Compact"/>
              <w:jc w:val="left"/>
            </w:pPr>
            <w:r>
              <w:rPr>
                <w:b/>
                <w:sz w:val="20"/>
              </w:rPr>
              <w:t xml:space="preserve">Mean building height, 2020→2025</w:t>
            </w:r>
          </w:p>
        </w:tc>
        <w:tc>
          <w:tcPr>
            <w:shd w:val="clear" w:fill="E7E6E6"/>
          </w:tcPr>
          <w:p>
            <w:pPr>
              <w:pStyle w:val="Compact"/>
              <w:jc w:val="left"/>
            </w:pPr>
            <w:r>
              <w:rPr>
                <w:b/>
                <w:sz w:val="20"/>
              </w:rPr>
              <w:t xml:space="preserve">People per m² built-up, 2020→2025</w:t>
            </w:r>
          </w:p>
        </w:tc>
      </w:tr>
      <w:tr>
        <w:tc>
          <w:tcPr/>
          <w:p>
            <w:pPr>
              <w:pStyle w:val="Compact"/>
              <w:jc w:val="left"/>
            </w:pPr>
            <w:r>
              <w:rPr>
                <w:sz w:val="20"/>
              </w:rPr>
              <w:t xml:space="preserve">AOI</w:t>
            </w:r>
          </w:p>
        </w:tc>
        <w:tc>
          <w:tcPr/>
          <w:p>
            <w:pPr>
              <w:pStyle w:val="Compact"/>
              <w:jc w:val="left"/>
            </w:pPr>
            <w:r>
              <w:rPr>
                <w:sz w:val="20"/>
              </w:rPr>
              <w:t xml:space="preserve">2.94</w:t>
            </w:r>
          </w:p>
        </w:tc>
        <w:tc>
          <w:tcPr/>
          <w:p>
            <w:pPr>
              <w:pStyle w:val="Compact"/>
              <w:jc w:val="left"/>
            </w:pPr>
            <w:r>
              <w:rPr>
                <w:sz w:val="20"/>
              </w:rPr>
              <w:t xml:space="preserve">1.70</w:t>
            </w:r>
          </w:p>
        </w:tc>
        <w:tc>
          <w:tcPr/>
          <w:p>
            <w:pPr>
              <w:pStyle w:val="Compact"/>
              <w:jc w:val="left"/>
            </w:pPr>
            <w:r>
              <w:rPr>
                <w:sz w:val="20"/>
              </w:rPr>
              <w:t xml:space="preserve">1.97</w:t>
            </w:r>
          </w:p>
        </w:tc>
        <w:tc>
          <w:tcPr/>
          <w:p>
            <w:pPr>
              <w:pStyle w:val="Compact"/>
              <w:jc w:val="left"/>
            </w:pPr>
            <w:r>
              <w:rPr>
                <w:sz w:val="20"/>
              </w:rPr>
              <w:t xml:space="preserve">+1.3%</w:t>
            </w:r>
          </w:p>
        </w:tc>
        <w:tc>
          <w:tcPr/>
          <w:p>
            <w:pPr>
              <w:pStyle w:val="Compact"/>
              <w:jc w:val="left"/>
            </w:pPr>
            <w:r>
              <w:rPr>
                <w:sz w:val="20"/>
              </w:rPr>
              <w:t xml:space="preserve">+6.2%</w:t>
            </w:r>
          </w:p>
        </w:tc>
      </w:tr>
      <w:tr>
        <w:tc>
          <w:tcPr/>
          <w:p>
            <w:pPr>
              <w:pStyle w:val="Compact"/>
              <w:jc w:val="left"/>
            </w:pPr>
            <w:r>
              <w:rPr>
                <w:sz w:val="20"/>
              </w:rPr>
              <w:t xml:space="preserve">City box</w:t>
            </w:r>
          </w:p>
        </w:tc>
        <w:tc>
          <w:tcPr/>
          <w:p>
            <w:pPr>
              <w:pStyle w:val="Compact"/>
              <w:jc w:val="left"/>
            </w:pPr>
            <w:r>
              <w:rPr>
                <w:sz w:val="20"/>
              </w:rPr>
              <w:t xml:space="preserve">1.16</w:t>
            </w:r>
          </w:p>
        </w:tc>
        <w:tc>
          <w:tcPr/>
          <w:p>
            <w:pPr>
              <w:pStyle w:val="Compact"/>
              <w:jc w:val="left"/>
            </w:pPr>
            <w:r>
              <w:rPr>
                <w:sz w:val="20"/>
              </w:rPr>
              <w:t xml:space="preserve">0.13</w:t>
            </w:r>
          </w:p>
        </w:tc>
        <w:tc>
          <w:tcPr/>
          <w:p>
            <w:pPr>
              <w:pStyle w:val="Compact"/>
              <w:jc w:val="left"/>
            </w:pPr>
            <w:r>
              <w:rPr>
                <w:sz w:val="20"/>
              </w:rPr>
              <w:t xml:space="preserve">0.08</w:t>
            </w:r>
          </w:p>
        </w:tc>
        <w:tc>
          <w:tcPr/>
          <w:p>
            <w:pPr>
              <w:pStyle w:val="Compact"/>
              <w:jc w:val="left"/>
            </w:pPr>
            <w:r>
              <w:rPr>
                <w:sz w:val="20"/>
              </w:rPr>
              <w:t xml:space="preserve">−0.25%</w:t>
            </w:r>
          </w:p>
        </w:tc>
        <w:tc>
          <w:tcPr/>
          <w:p>
            <w:pPr>
              <w:pStyle w:val="Compact"/>
              <w:jc w:val="left"/>
            </w:pPr>
            <w:r>
              <w:rPr>
                <w:sz w:val="20"/>
              </w:rPr>
              <w:t xml:space="preserve">+5.3%</w:t>
            </w:r>
          </w:p>
        </w:tc>
      </w:tr>
    </w:tbl>
    <w:p>
      <w:pPr>
        <w:pStyle w:val="BodyText"/>
      </w:pPr>
      <w:r>
        <w:rPr>
          <w:bCs/>
          <w:b/>
        </w:rPr>
        <w:t xml:space="preserve">Answer:</w:t>
      </w:r>
      <w:r>
        <w:t xml:space="preserve"> </w:t>
      </w:r>
      <w:r>
        <w:t xml:space="preserve">building footprint extent in the AOI grew by</w:t>
      </w:r>
      <w:r>
        <w:t xml:space="preserve"> </w:t>
      </w:r>
      <w:r>
        <w:rPr>
          <w:bCs/>
          <w:b/>
        </w:rPr>
        <w:t xml:space="preserve">1.70% per year</w:t>
      </w:r>
      <w:r>
        <w:t xml:space="preserve"> </w:t>
      </w:r>
      <w:r>
        <w:t xml:space="preserve">between 2020 and 2025 (GHS_BUILT_S), more than ten times the rate of the whole city box (0.13% per year). Population in the AOI grew faster still (2.94% per year), so the model places about 6% more people on each square metre of built-up land in 2025 than in 2020; the same holds city-wide (+5.3%), where population grows by 1.16% per year on an almost unchanged built-up surface. Both GHSL layers are modelled, and GHS_POP distributes census population over the built-up volume, so this comparison shows the model’s logic as much as the ground truth.</w:t>
      </w:r>
    </w:p>
    <w:p>
      <w:pPr>
        <w:pStyle w:val="BodyText"/>
      </w:pPr>
      <w:r>
        <w:t xml:space="preserve">A second, independent estimate comes from pygeovision</w:t>
      </w:r>
      <w:r>
        <w:t xml:space="preserve"> </w:t>
      </w:r>
      <w:r>
        <w:rPr>
          <w:rStyle w:val="VerbatimChar"/>
        </w:rPr>
        <w:t xml:space="preserve">urban_expansion</w:t>
      </w:r>
      <w:r>
        <w:t xml:space="preserve">, which compares the built-up class of the Esri 10 m annual land cover in 2020 and 2023. It gives a gross gain of 16.8 ha and a gross loss of 11.2 ha, a net gain of 5.6 ha and an annual growth of about 1.1% (dashed line in Figure 7). The gross loss is two-thirds of the gross gain, and the change map labels fields as built-up and the river corridor as new built-up when compared with the high-resolution imagery in Figure 1. This points to classifier disagreement between the two years rather than real new building or demolition, so the Esri rate is only a weak, independent check, not a precise measurement.</w:t>
      </w:r>
    </w:p>
    <w:p>
      <w:pPr>
        <w:pStyle w:val="CaptionedFigure"/>
      </w:pPr>
      <w:r>
        <w:drawing>
          <wp:inline>
            <wp:extent cx="5039999" cy="2221322"/>
            <wp:effectExtent b="0" l="0" r="0" t="0"/>
            <wp:docPr descr="Figure 7. Annual growth of population (GHS_POP), footprint extent (GHS_BUILT_S) and volume (GHS_BUILT_V) for the AOI and the city box, 2020–2025; the dashed line is the Esri built-up growth in the AOI, 2020–2023." title="" id="50" name="Picture"/>
            <a:graphic>
              <a:graphicData uri="http://schemas.openxmlformats.org/drawingml/2006/picture">
                <pic:pic>
                  <pic:nvPicPr>
                    <pic:cNvPr descr="figures/fig_growth.png" id="51" name="Picture"/>
                    <pic:cNvPicPr>
                      <a:picLocks noChangeArrowheads="1" noChangeAspect="1"/>
                    </pic:cNvPicPr>
                  </pic:nvPicPr>
                  <pic:blipFill>
                    <a:blip r:embed="rId49"/>
                    <a:stretch>
                      <a:fillRect/>
                    </a:stretch>
                  </pic:blipFill>
                  <pic:spPr bwMode="auto">
                    <a:xfrm>
                      <a:off x="0" y="0"/>
                      <a:ext cx="5039999" cy="2221322"/>
                    </a:xfrm>
                    <a:prstGeom prst="rect">
                      <a:avLst/>
                    </a:prstGeom>
                    <a:noFill/>
                    <a:ln w="9525">
                      <a:noFill/>
                      <a:headEnd/>
                      <a:tailEnd/>
                    </a:ln>
                  </pic:spPr>
                </pic:pic>
              </a:graphicData>
            </a:graphic>
          </wp:inline>
        </w:drawing>
      </w:r>
    </w:p>
    <w:p>
      <w:pPr>
        <w:pStyle w:val="ImageCaption"/>
        <w:jc w:val="center"/>
      </w:pPr>
      <w:r>
        <w:rPr>
          <w:sz w:val="22"/>
        </w:rPr>
        <w:t xml:space="preserve">Figure 7. Annual growth of population (GHS_POP), footprint extent (GHS_BUILT_S) and volume (GHS_BUILT_V) for the AOI and the city box, 2020–2025; the dashed line is the Esri built-up growth in the AOI, 2020–2023.</w:t>
      </w:r>
    </w:p>
    <w:bookmarkEnd w:id="52"/>
    <w:bookmarkStart w:id="56" w:name="X628c4d546aa1bb61a581a53a777072fb6c82134"/>
    <w:p>
      <w:pPr>
        <w:pStyle w:val="Heading2"/>
      </w:pPr>
      <w:r>
        <w:t xml:space="preserve">4.4 Question 3: Where is the city growing in extent?</w:t>
      </w:r>
    </w:p>
    <w:p>
      <w:pPr>
        <w:pStyle w:val="FirstParagraph"/>
      </w:pPr>
      <w:r>
        <w:t xml:space="preserve">Figure 8 maps the new built-up surface 2020–2025 from GHSL on the Sentinel-2 image.</w:t>
      </w:r>
    </w:p>
    <w:p>
      <w:pPr>
        <w:pStyle w:val="CaptionedFigure"/>
      </w:pPr>
      <w:r>
        <w:drawing>
          <wp:inline>
            <wp:extent cx="4679999" cy="4499255"/>
            <wp:effectExtent b="0" l="0" r="0" t="0"/>
            <wp:docPr descr="Figure 8. New built-up surface 2020–2025 per 100 m cell (GHS_BUILT_S) on the Sentinel-2 image of 5 October 2026, with Microsoft footprints in white." title="" id="54" name="Picture"/>
            <a:graphic>
              <a:graphicData uri="http://schemas.openxmlformats.org/drawingml/2006/picture">
                <pic:pic>
                  <pic:nvPicPr>
                    <pic:cNvPr descr="figures/fig_ghsl_gain.png" id="55" name="Picture"/>
                    <pic:cNvPicPr>
                      <a:picLocks noChangeArrowheads="1" noChangeAspect="1"/>
                    </pic:cNvPicPr>
                  </pic:nvPicPr>
                  <pic:blipFill>
                    <a:blip r:embed="rId53"/>
                    <a:stretch>
                      <a:fillRect/>
                    </a:stretch>
                  </pic:blipFill>
                  <pic:spPr bwMode="auto">
                    <a:xfrm>
                      <a:off x="0" y="0"/>
                      <a:ext cx="4679999" cy="4499255"/>
                    </a:xfrm>
                    <a:prstGeom prst="rect">
                      <a:avLst/>
                    </a:prstGeom>
                    <a:noFill/>
                    <a:ln w="9525">
                      <a:noFill/>
                      <a:headEnd/>
                      <a:tailEnd/>
                    </a:ln>
                  </pic:spPr>
                </pic:pic>
              </a:graphicData>
            </a:graphic>
          </wp:inline>
        </w:drawing>
      </w:r>
    </w:p>
    <w:p>
      <w:pPr>
        <w:pStyle w:val="ImageCaption"/>
        <w:jc w:val="center"/>
      </w:pPr>
      <w:r>
        <w:rPr>
          <w:sz w:val="22"/>
        </w:rPr>
        <w:t xml:space="preserve">Figure 8. New built-up surface 2020–2025 per 100 m cell (GHS_BUILT_S) on the Sentinel-2 image of 5 October 2026, with Microsoft footprints in white.</w:t>
      </w:r>
    </w:p>
    <w:p>
      <w:pPr>
        <w:pStyle w:val="BodyText"/>
      </w:pPr>
      <w:r>
        <w:rPr>
          <w:bCs/>
          <w:b/>
        </w:rPr>
        <w:t xml:space="preserve">Answer:</w:t>
      </w:r>
      <w:r>
        <w:t xml:space="preserve"> </w:t>
      </w:r>
      <w:r>
        <w:t xml:space="preserve">in GHSL, new built-up surface appears in only about a dozen of the AOI’s 100 m cells, and it is concentrated in three places:</w:t>
      </w:r>
    </w:p>
    <w:p>
      <w:pPr>
        <w:numPr>
          <w:ilvl w:val="0"/>
          <w:numId w:val="1006"/>
        </w:numPr>
        <w:pStyle w:val="Compact"/>
      </w:pPr>
      <w:r>
        <w:rPr>
          <w:bCs/>
          <w:b/>
        </w:rPr>
        <w:t xml:space="preserve">South-west</w:t>
      </w:r>
      <w:r>
        <w:t xml:space="preserve">, around the southern building cluster west of the farmland: the two cells with the largest gains in the AOI (about 3,500–4,100 m² each), plus two cells with about 1,800 m² at the south-western corner of the farmland and a smaller gain further south.</w:t>
      </w:r>
    </w:p>
    <w:p>
      <w:pPr>
        <w:numPr>
          <w:ilvl w:val="0"/>
          <w:numId w:val="1006"/>
        </w:numPr>
        <w:pStyle w:val="Compact"/>
      </w:pPr>
      <w:r>
        <w:rPr>
          <w:bCs/>
          <w:b/>
        </w:rPr>
        <w:t xml:space="preserve">The western edge, on the far bank of the Río Piura</w:t>
      </w:r>
      <w:r>
        <w:t xml:space="preserve">: one cell with about 3,000 m² and two smaller gains (about 600–1,300 m²) further north.</w:t>
      </w:r>
    </w:p>
    <w:p>
      <w:pPr>
        <w:numPr>
          <w:ilvl w:val="0"/>
          <w:numId w:val="1006"/>
        </w:numPr>
        <w:pStyle w:val="Compact"/>
      </w:pPr>
      <w:r>
        <w:rPr>
          <w:bCs/>
          <w:b/>
        </w:rPr>
        <w:t xml:space="preserve">The northern edge and the north-east</w:t>
      </w:r>
      <w:r>
        <w:t xml:space="preserve">: one cell of about 2,000 m² beside the river at the top of the AOI, two smaller cells next to it, and one cell of about 1,600 m² on the eastern edge.</w:t>
      </w:r>
    </w:p>
    <w:p>
      <w:pPr>
        <w:pStyle w:val="FirstParagraph"/>
      </w:pPr>
      <w:r>
        <w:t xml:space="preserve">The dense housing on the eastern and south-eastern edges and the north-eastern block show almost no new built-up surface: GHSL already counts them as built in 2020. The central farmland shows none. In this model the AOI therefore grows by filling gaps and extending the existing clusters at the south-west and along the river, not by building on the farmland or creating new isolated settlements.</w:t>
      </w:r>
    </w:p>
    <w:p>
      <w:pPr>
        <w:pStyle w:val="BodyText"/>
      </w:pPr>
      <w:r>
        <w:t xml:space="preserve">The notebook also maps the Esri 10 m built-up change from pygeovision</w:t>
      </w:r>
      <w:r>
        <w:t xml:space="preserve"> </w:t>
      </w:r>
      <w:r>
        <w:rPr>
          <w:rStyle w:val="VerbatimChar"/>
        </w:rPr>
        <w:t xml:space="preserve">urban_expansion</w:t>
      </w:r>
      <w:r>
        <w:t xml:space="preserve">, but it is not shown here. Compared with the high-resolution imagery, it labels fields in the north-west as built-up and places most of its new built-up area along the river corridor, so it is not reliable for locating growth in this fringe at 10 m.</w:t>
      </w:r>
    </w:p>
    <w:bookmarkEnd w:id="56"/>
    <w:bookmarkStart w:id="60" w:name="X0641b920cfc9ca9b4321a747b37e5efff922c7a"/>
    <w:p>
      <w:pPr>
        <w:pStyle w:val="Heading2"/>
      </w:pPr>
      <w:r>
        <w:t xml:space="preserve">4.5 Question 4: Where do we observe growth in building volume?</w:t>
      </w:r>
    </w:p>
    <w:p>
      <w:pPr>
        <w:pStyle w:val="FirstParagraph"/>
      </w:pPr>
      <w:r>
        <w:t xml:space="preserve">Building volume (GHS_BUILT_V) grew by</w:t>
      </w:r>
      <w:r>
        <w:t xml:space="preserve"> </w:t>
      </w:r>
      <w:r>
        <w:rPr>
          <w:bCs/>
          <w:b/>
        </w:rPr>
        <w:t xml:space="preserve">1.97% per year</w:t>
      </w:r>
      <w:r>
        <w:t xml:space="preserve"> </w:t>
      </w:r>
      <w:r>
        <w:t xml:space="preserve">in the AOI from 2020 to 2025, slightly faster than the footprint extent (1.70% per year). Because volume is surface times height, the mean building height in the AOI rose by 0.27% per year, or 1.3% over the five years (Table 4). In the city box, volume (0.08% per year) grew slightly more slowly than surface (0.13% per year), so the mean height there fell by 0.25%, which is practically unchanged. Growth in the AOI is therefore mainly horizontal, with a small vertical component such as added floors on existing houses.</w:t>
      </w:r>
    </w:p>
    <w:p>
      <w:pPr>
        <w:pStyle w:val="BodyText"/>
      </w:pPr>
      <w:r>
        <w:t xml:space="preserve">Figure 9 shows the change in volume per 100 m cell over the Sentinel-2 image, with the ten largest gains outlined in black.</w:t>
      </w:r>
    </w:p>
    <w:p>
      <w:pPr>
        <w:pStyle w:val="CaptionedFigure"/>
      </w:pPr>
      <w:r>
        <w:drawing>
          <wp:inline>
            <wp:extent cx="4679999" cy="3690129"/>
            <wp:effectExtent b="0" l="0" r="0" t="0"/>
            <wp:docPr descr="Figure 9. Change in built-up volume 2020–2025 (GHS_BUILT_V) in m³ per 100 m cell. Red cells gain volume, blue cells lose it; black outlines mark the ten largest gains." title="" id="58" name="Picture"/>
            <a:graphic>
              <a:graphicData uri="http://schemas.openxmlformats.org/drawingml/2006/picture">
                <pic:pic>
                  <pic:nvPicPr>
                    <pic:cNvPr descr="figures/fig_vol.png" id="59" name="Picture"/>
                    <pic:cNvPicPr>
                      <a:picLocks noChangeArrowheads="1" noChangeAspect="1"/>
                    </pic:cNvPicPr>
                  </pic:nvPicPr>
                  <pic:blipFill>
                    <a:blip r:embed="rId57"/>
                    <a:stretch>
                      <a:fillRect/>
                    </a:stretch>
                  </pic:blipFill>
                  <pic:spPr bwMode="auto">
                    <a:xfrm>
                      <a:off x="0" y="0"/>
                      <a:ext cx="4679999" cy="3690129"/>
                    </a:xfrm>
                    <a:prstGeom prst="rect">
                      <a:avLst/>
                    </a:prstGeom>
                    <a:noFill/>
                    <a:ln w="9525">
                      <a:noFill/>
                      <a:headEnd/>
                      <a:tailEnd/>
                    </a:ln>
                  </pic:spPr>
                </pic:pic>
              </a:graphicData>
            </a:graphic>
          </wp:inline>
        </w:drawing>
      </w:r>
    </w:p>
    <w:p>
      <w:pPr>
        <w:pStyle w:val="ImageCaption"/>
        <w:jc w:val="center"/>
      </w:pPr>
      <w:r>
        <w:rPr>
          <w:sz w:val="22"/>
        </w:rPr>
        <w:t xml:space="preserve">Figure 9. Change in built-up volume 2020–2025 (GHS_BUILT_V) in m³ per 100 m cell. Red cells gain volume, blue cells lose it; black outlines mark the ten largest gains.</w:t>
      </w:r>
    </w:p>
    <w:p>
      <w:pPr>
        <w:pStyle w:val="BodyText"/>
      </w:pPr>
      <w:r>
        <w:rPr>
          <w:bCs/>
          <w:b/>
        </w:rPr>
        <w:t xml:space="preserve">Answer:</w:t>
      </w:r>
      <w:r>
        <w:t xml:space="preserve"> </w:t>
      </w:r>
      <w:r>
        <w:t xml:space="preserve">the volume gains are in the same places as the new built-up surface, and they are even more concentrated. One cell in the south-west, beside the southern building cluster, gains about 40,000 m³, far more than any other. Two cells gain about 20,000 m³: one on the western edge across the river and one in the south-west. The remaining outlined cells gain less than about 10,000 m³ each: three at the northern edge beside the river, one on the eastern edge in the north-east, one on the western edge and two at the south-western corner of the farmland. No cell shows a visible loss of volume, and the dense eastern housing and the farmland do not change.</w:t>
      </w:r>
    </w:p>
    <w:bookmarkEnd w:id="60"/>
    <w:bookmarkEnd w:id="61"/>
    <w:bookmarkStart w:id="62" w:name="limitations"/>
    <w:p>
      <w:pPr>
        <w:pStyle w:val="Heading1"/>
      </w:pPr>
      <w:r>
        <w:t xml:space="preserve">5. Limitations</w:t>
      </w:r>
    </w:p>
    <w:p>
      <w:pPr>
        <w:numPr>
          <w:ilvl w:val="0"/>
          <w:numId w:val="1007"/>
        </w:numPr>
        <w:pStyle w:val="Compact"/>
      </w:pPr>
      <w:r>
        <w:t xml:space="preserve">GHSL epochs are interpolated or extrapolated in 5-year steps from satellite observations (a Sentinel-2 composite and Landsat). The 2025 values of GHS_POP, GHS_BUILT_S and GHS_BUILT_V are therefore modelled, not observed, and changes between 2020 and 2025 are smooth by construction. This likely explains why only about a dozen AOI cells change and why the city-wide built-up surface hardly grows.</w:t>
      </w:r>
    </w:p>
    <w:p>
      <w:pPr>
        <w:numPr>
          <w:ilvl w:val="0"/>
          <w:numId w:val="1007"/>
        </w:numPr>
        <w:pStyle w:val="Compact"/>
      </w:pPr>
      <w:r>
        <w:t xml:space="preserve">GHS_POP distributes census population over the residential built-up volume, so population growth and built-up growth from GHSL are not independent measures.</w:t>
      </w:r>
    </w:p>
    <w:p>
      <w:pPr>
        <w:numPr>
          <w:ilvl w:val="0"/>
          <w:numId w:val="1007"/>
        </w:numPr>
        <w:pStyle w:val="Compact"/>
      </w:pPr>
      <w:r>
        <w:t xml:space="preserve">GHSL is a 100 m grid; the AOI holds only about 17 × 17 cells, so the maps show where growth happens at block level, not for single buildings. Resampling from Mollweide to UTM shifts cell edges by up to half a cell in the maps (not in the sums).</w:t>
      </w:r>
    </w:p>
    <w:p>
      <w:pPr>
        <w:numPr>
          <w:ilvl w:val="0"/>
          <w:numId w:val="1007"/>
        </w:numPr>
        <w:pStyle w:val="Compact"/>
      </w:pPr>
      <w:r>
        <w:t xml:space="preserve">The Esri land cover ends in 2023, so its growth covers 2020–2023 only. Each year is classified independently and generalised to large patches; compared with high-resolution imagery it misclassifies fields and the river corridor, so it is used only as a rough check and its map is not shown.</w:t>
      </w:r>
    </w:p>
    <w:p>
      <w:pPr>
        <w:numPr>
          <w:ilvl w:val="0"/>
          <w:numId w:val="1007"/>
        </w:numPr>
        <w:pStyle w:val="Compact"/>
      </w:pPr>
      <w:r>
        <w:t xml:space="preserve">The Open Buildings 2.5D Temporal dataset suggested in the assignment was not used because it is distributed only through Google Earth Engine.</w:t>
      </w:r>
    </w:p>
    <w:p>
      <w:pPr>
        <w:numPr>
          <w:ilvl w:val="0"/>
          <w:numId w:val="1007"/>
        </w:numPr>
        <w:pStyle w:val="Compact"/>
      </w:pPr>
      <w:r>
        <w:t xml:space="preserve">The pygeovision footprint sources are single snapshots of different dates and cannot show growth. Their counts differ by a factor of 3.5 (Table 2). pygeovision reads OSM buildings from closed ways only; buildings mapped as multipolygon relations are missing.</w:t>
      </w:r>
    </w:p>
    <w:p>
      <w:pPr>
        <w:numPr>
          <w:ilvl w:val="0"/>
          <w:numId w:val="1007"/>
        </w:numPr>
        <w:pStyle w:val="Compact"/>
      </w:pPr>
      <w:r>
        <w:t xml:space="preserve">The website figures after 2017 are projections too.</w:t>
      </w:r>
    </w:p>
    <w:p>
      <w:pPr>
        <w:numPr>
          <w:ilvl w:val="0"/>
          <w:numId w:val="1007"/>
        </w:numPr>
        <w:pStyle w:val="Compact"/>
      </w:pPr>
      <w:r>
        <w:t xml:space="preserve">The AOI is 2.76 km² on the urban fringe. Its results describe this location and do not represent all of Piura.</w:t>
      </w:r>
    </w:p>
    <w:bookmarkEnd w:id="62"/>
    <w:bookmarkStart w:id="63" w:name="conclusion"/>
    <w:p>
      <w:pPr>
        <w:pStyle w:val="Heading1"/>
      </w:pPr>
      <w:r>
        <w:t xml:space="preserve">6. Conclusion</w:t>
      </w:r>
    </w:p>
    <w:p>
      <w:pPr>
        <w:pStyle w:val="FirstParagraph"/>
      </w:pPr>
      <w:r>
        <w:t xml:space="preserve">The population and building data show that the north-eastern fringe of Piura is growing faster than the city as a whole. In the AOI, population rose 2.94% per year (GHS_POP, 2020–2025), building footprint extent 1.70% per year (GHS_BUILT_S) and building volume 1.97% per year (GHS_BUILT_V); for the whole city the rates are 1.16%, 0.13% and 0.08% per year. The website’s 2.75% is matched only at the fringe, not city-wide. Growth in extent and volume concentrates in a few blocks in the south-west of the AOI around the southern building cluster and along the Río Piura on the western and northern edges, as infill and extension of existing clusters; the farmland and the dense eastern housing do not change. Volume grows slightly faster than footprint, so growth is mostly horizontal with a small vertical component. The Esri land cover adds a net gain of 5.6 ha (2020–2023), but its large gross loss shows it is not reliable at this scale. The whole workflow ran without an Earth Engine account: pygeovision returned comparable footprints, areas, densities and statistics from one call per source, plus the land-cover change and the satellite image, and the GHSL layers came straight from the JRC server. Table 5 summarises the answers.</w:t>
      </w:r>
    </w:p>
    <w:p>
      <w:pPr>
        <w:pStyle w:val="BodyText"/>
        <w:jc w:val="left"/>
      </w:pPr>
      <w:r>
        <w:rPr>
          <w:iCs/>
          <w:i/>
          <w:sz w:val="22"/>
        </w:rPr>
        <w:t xml:space="preserve">Table 5. Summary of answers.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fill="E7E6E6"/>
          </w:tcPr>
          <w:p>
            <w:pPr>
              <w:pStyle w:val="Compact"/>
              <w:jc w:val="left"/>
            </w:pPr>
            <w:r>
              <w:rPr>
                <w:b/>
                <w:sz w:val="20"/>
              </w:rPr>
              <w:t xml:space="preserve">Question</w:t>
            </w:r>
          </w:p>
        </w:tc>
        <w:tc>
          <w:tcPr>
            <w:shd w:val="clear" w:fill="E7E6E6"/>
          </w:tcPr>
          <w:p>
            <w:pPr>
              <w:pStyle w:val="Compact"/>
              <w:jc w:val="left"/>
            </w:pPr>
            <w:r>
              <w:rPr>
                <w:b/>
                <w:sz w:val="20"/>
              </w:rPr>
              <w:t xml:space="preserve">Answer</w:t>
            </w:r>
          </w:p>
        </w:tc>
      </w:tr>
      <w:tr>
        <w:tc>
          <w:tcPr/>
          <w:p>
            <w:pPr>
              <w:pStyle w:val="Compact"/>
              <w:jc w:val="left"/>
            </w:pPr>
            <w:r>
              <w:rPr>
                <w:sz w:val="20"/>
              </w:rPr>
              <w:t xml:space="preserve">1. Same growth rate as the source?</w:t>
            </w:r>
          </w:p>
        </w:tc>
        <w:tc>
          <w:tcPr/>
          <w:p>
            <w:pPr>
              <w:pStyle w:val="Compact"/>
              <w:jc w:val="left"/>
            </w:pPr>
            <w:r>
              <w:rPr>
                <w:sz w:val="20"/>
              </w:rPr>
              <w:t xml:space="preserve">Partly. AOI 2.94% per year, close to 2.75% on the website; city box 1.16% per year, less than half the website rate.</w:t>
            </w:r>
          </w:p>
        </w:tc>
      </w:tr>
      <w:tr>
        <w:tc>
          <w:tcPr/>
          <w:p>
            <w:pPr>
              <w:pStyle w:val="Compact"/>
              <w:jc w:val="left"/>
            </w:pPr>
            <w:r>
              <w:rPr>
                <w:sz w:val="20"/>
              </w:rPr>
              <w:t xml:space="preserve">2. Annual growth of footprint extent</w:t>
            </w:r>
          </w:p>
        </w:tc>
        <w:tc>
          <w:tcPr/>
          <w:p>
            <w:pPr>
              <w:pStyle w:val="Compact"/>
              <w:jc w:val="left"/>
            </w:pPr>
            <w:r>
              <w:rPr>
                <w:sz w:val="20"/>
              </w:rPr>
              <w:t xml:space="preserve">1.70% per year in the AOI (GHS_BUILT_S, 2020–2025), 0.13% per year city-wide; Esri built-up about 1.1% per year net (2020–2023), with large gross gain and loss.</w:t>
            </w:r>
          </w:p>
        </w:tc>
      </w:tr>
      <w:tr>
        <w:tc>
          <w:tcPr/>
          <w:p>
            <w:pPr>
              <w:pStyle w:val="Compact"/>
              <w:jc w:val="left"/>
            </w:pPr>
            <w:r>
              <w:rPr>
                <w:sz w:val="20"/>
              </w:rPr>
              <w:t xml:space="preserve">3. Where is the city growing in extent?</w:t>
            </w:r>
          </w:p>
        </w:tc>
        <w:tc>
          <w:tcPr/>
          <w:p>
            <w:pPr>
              <w:pStyle w:val="Compact"/>
              <w:jc w:val="left"/>
            </w:pPr>
            <w:r>
              <w:rPr>
                <w:sz w:val="20"/>
              </w:rPr>
              <w:t xml:space="preserve">South-west of the AOI around the southern building cluster, and along the Río Piura on the western and northern edges; infill and extension of existing clusters, nothing on the farmland.</w:t>
            </w:r>
          </w:p>
        </w:tc>
      </w:tr>
      <w:tr>
        <w:tc>
          <w:tcPr/>
          <w:p>
            <w:pPr>
              <w:pStyle w:val="Compact"/>
              <w:jc w:val="left"/>
            </w:pPr>
            <w:r>
              <w:rPr>
                <w:sz w:val="20"/>
              </w:rPr>
              <w:t xml:space="preserve">4. Where does building volume grow?</w:t>
            </w:r>
          </w:p>
        </w:tc>
        <w:tc>
          <w:tcPr/>
          <w:p>
            <w:pPr>
              <w:pStyle w:val="Compact"/>
              <w:jc w:val="left"/>
            </w:pPr>
            <w:r>
              <w:rPr>
                <w:sz w:val="20"/>
              </w:rPr>
              <w:t xml:space="preserve">Same places, most of all one block in the south-west (about 40,000 m³); volume 1.97% per year, slightly faster than footprint, so growth is mostly horizontal.</w:t>
            </w:r>
          </w:p>
        </w:tc>
      </w:tr>
    </w:tbl>
    <w:bookmarkEnd w:id="63"/>
    <w:bookmarkStart w:id="64" w:name="X1b240378b49644e6758d901125ceb462207f85a"/>
    <w:p>
      <w:pPr>
        <w:pStyle w:val="Heading1"/>
      </w:pPr>
      <w:r>
        <w:t xml:space="preserve">Appendix A: Notebook Code of the Main Steps</w:t>
      </w:r>
    </w:p>
    <w:p>
      <w:pPr>
        <w:pStyle w:val="FirstParagraph"/>
      </w:pPr>
      <w:r>
        <w:t xml:space="preserve">The listings below are the cells of the notebook (</w:t>
      </w:r>
      <w:r>
        <w:rPr>
          <w:rStyle w:val="VerbatimChar"/>
        </w:rPr>
        <w:t xml:space="preserve">piura_growth_pygeovision.ipynb</w:t>
      </w:r>
      <w:r>
        <w:t xml:space="preserve">) that produce the data; the figures in Section 4 are their outputs.</w:t>
      </w:r>
    </w:p>
    <w:p>
      <w:pPr>
        <w:pStyle w:val="BodyText"/>
      </w:pPr>
      <w:r>
        <w:rPr>
          <w:bCs/>
          <w:b/>
        </w:rPr>
        <w:t xml:space="preserve">A1. Study settings (AOI, city box, coordinate systems, epochs)</w:t>
      </w:r>
    </w:p>
    <w:p>
      <w:pPr>
        <w:pStyle w:val="SourceCode"/>
      </w:pPr>
      <w:r>
        <w:rPr>
          <w:rStyle w:val="NormalTok"/>
        </w:rPr>
        <w:t xml:space="preserve">west, south, east, north </w:t>
      </w:r>
      <w:r>
        <w:rPr>
          <w:rStyle w:val="OperatorTok"/>
        </w:rPr>
        <w:t xml:space="preserve">=</w:t>
      </w:r>
      <w:r>
        <w:rPr>
          <w:rStyle w:val="NormalTok"/>
        </w:rPr>
        <w:t xml:space="preserve"> </w:t>
      </w:r>
      <w:r>
        <w:rPr>
          <w:rStyle w:val="OperatorTok"/>
        </w:rPr>
        <w:t xml:space="preserve">-</w:t>
      </w:r>
      <w:r>
        <w:rPr>
          <w:rStyle w:val="FloatTok"/>
        </w:rPr>
        <w:t xml:space="preserve">80.625</w:t>
      </w:r>
      <w:r>
        <w:rPr>
          <w:rStyle w:val="NormalTok"/>
        </w:rPr>
        <w:t xml:space="preserve">, </w:t>
      </w:r>
      <w:r>
        <w:rPr>
          <w:rStyle w:val="OperatorTok"/>
        </w:rPr>
        <w:t xml:space="preserve">-</w:t>
      </w:r>
      <w:r>
        <w:rPr>
          <w:rStyle w:val="FloatTok"/>
        </w:rPr>
        <w:t xml:space="preserve">5.180</w:t>
      </w:r>
      <w:r>
        <w:rPr>
          <w:rStyle w:val="NormalTok"/>
        </w:rPr>
        <w:t xml:space="preserve">, </w:t>
      </w:r>
      <w:r>
        <w:rPr>
          <w:rStyle w:val="OperatorTok"/>
        </w:rPr>
        <w:t xml:space="preserve">-</w:t>
      </w:r>
      <w:r>
        <w:rPr>
          <w:rStyle w:val="FloatTok"/>
        </w:rPr>
        <w:t xml:space="preserve">80.610</w:t>
      </w:r>
      <w:r>
        <w:rPr>
          <w:rStyle w:val="NormalTok"/>
        </w:rPr>
        <w:t xml:space="preserve">, </w:t>
      </w:r>
      <w:r>
        <w:rPr>
          <w:rStyle w:val="OperatorTok"/>
        </w:rPr>
        <w:t xml:space="preserve">-</w:t>
      </w:r>
      <w:r>
        <w:rPr>
          <w:rStyle w:val="FloatTok"/>
        </w:rPr>
        <w:t xml:space="preserve">5.165</w:t>
      </w:r>
      <w:r>
        <w:rPr>
          <w:rStyle w:val="NormalTok"/>
        </w:rPr>
        <w:t xml:space="preserve">  </w:t>
      </w:r>
      <w:r>
        <w:rPr>
          <w:rStyle w:val="CommentTok"/>
        </w:rPr>
        <w:t xml:space="preserve"># AOI: north-eastern urban edge of Piura</w:t>
      </w:r>
      <w:r>
        <w:br/>
      </w:r>
      <w:r>
        <w:rPr>
          <w:rStyle w:val="NormalTok"/>
        </w:rPr>
        <w:t xml:space="preserve">AOI_BBOX </w:t>
      </w:r>
      <w:r>
        <w:rPr>
          <w:rStyle w:val="OperatorTok"/>
        </w:rPr>
        <w:t xml:space="preserve">=</w:t>
      </w:r>
      <w:r>
        <w:rPr>
          <w:rStyle w:val="NormalTok"/>
        </w:rPr>
        <w:t xml:space="preserve"> (west, south, east, north)</w:t>
      </w:r>
      <w:r>
        <w:br/>
      </w:r>
      <w:r>
        <w:rPr>
          <w:rStyle w:val="NormalTok"/>
        </w:rPr>
        <w:t xml:space="preserve">CITY_BBOX </w:t>
      </w:r>
      <w:r>
        <w:rPr>
          <w:rStyle w:val="OperatorTok"/>
        </w:rPr>
        <w:t xml:space="preserve">=</w:t>
      </w:r>
      <w:r>
        <w:rPr>
          <w:rStyle w:val="NormalTok"/>
        </w:rPr>
        <w:t xml:space="preserve"> (</w:t>
      </w:r>
      <w:r>
        <w:rPr>
          <w:rStyle w:val="OperatorTok"/>
        </w:rPr>
        <w:t xml:space="preserve">-</w:t>
      </w:r>
      <w:r>
        <w:rPr>
          <w:rStyle w:val="FloatTok"/>
        </w:rPr>
        <w:t xml:space="preserve">80.70</w:t>
      </w:r>
      <w:r>
        <w:rPr>
          <w:rStyle w:val="NormalTok"/>
        </w:rPr>
        <w:t xml:space="preserve">, </w:t>
      </w:r>
      <w:r>
        <w:rPr>
          <w:rStyle w:val="OperatorTok"/>
        </w:rPr>
        <w:t xml:space="preserve">-</w:t>
      </w:r>
      <w:r>
        <w:rPr>
          <w:rStyle w:val="FloatTok"/>
        </w:rPr>
        <w:t xml:space="preserve">5.26</w:t>
      </w:r>
      <w:r>
        <w:rPr>
          <w:rStyle w:val="NormalTok"/>
        </w:rPr>
        <w:t xml:space="preserve">, </w:t>
      </w:r>
      <w:r>
        <w:rPr>
          <w:rStyle w:val="OperatorTok"/>
        </w:rPr>
        <w:t xml:space="preserve">-</w:t>
      </w:r>
      <w:r>
        <w:rPr>
          <w:rStyle w:val="FloatTok"/>
        </w:rPr>
        <w:t xml:space="preserve">80.55</w:t>
      </w:r>
      <w:r>
        <w:rPr>
          <w:rStyle w:val="NormalTok"/>
        </w:rPr>
        <w:t xml:space="preserve">, </w:t>
      </w:r>
      <w:r>
        <w:rPr>
          <w:rStyle w:val="OperatorTok"/>
        </w:rPr>
        <w:t xml:space="preserve">-</w:t>
      </w:r>
      <w:r>
        <w:rPr>
          <w:rStyle w:val="FloatTok"/>
        </w:rPr>
        <w:t xml:space="preserve">5.13</w:t>
      </w:r>
      <w:r>
        <w:rPr>
          <w:rStyle w:val="NormalTok"/>
        </w:rPr>
        <w:t xml:space="preserve">)  </w:t>
      </w:r>
      <w:r>
        <w:rPr>
          <w:rStyle w:val="CommentTok"/>
        </w:rPr>
        <w:t xml:space="preserve"># rectangle around the whole city</w:t>
      </w:r>
      <w:r>
        <w:br/>
      </w:r>
      <w:r>
        <w:rPr>
          <w:rStyle w:val="NormalTok"/>
        </w:rPr>
        <w:t xml:space="preserve">UTM </w:t>
      </w:r>
      <w:r>
        <w:rPr>
          <w:rStyle w:val="OperatorTok"/>
        </w:rPr>
        <w:t xml:space="preserve">=</w:t>
      </w:r>
      <w:r>
        <w:rPr>
          <w:rStyle w:val="NormalTok"/>
        </w:rPr>
        <w:t xml:space="preserve"> </w:t>
      </w:r>
      <w:r>
        <w:rPr>
          <w:rStyle w:val="StringTok"/>
        </w:rPr>
        <w:t xml:space="preserve">"EPSG:32717"</w:t>
      </w:r>
      <w:r>
        <w:rPr>
          <w:rStyle w:val="NormalTok"/>
        </w:rPr>
        <w:t xml:space="preserve">  </w:t>
      </w:r>
      <w:r>
        <w:rPr>
          <w:rStyle w:val="CommentTok"/>
        </w:rPr>
        <w:t xml:space="preserve"># UTM zone 17S (Piura)</w:t>
      </w:r>
      <w:r>
        <w:br/>
      </w:r>
      <w:r>
        <w:rPr>
          <w:rStyle w:val="NormalTok"/>
        </w:rPr>
        <w:t xml:space="preserve">MOLL </w:t>
      </w:r>
      <w:r>
        <w:rPr>
          <w:rStyle w:val="OperatorTok"/>
        </w:rPr>
        <w:t xml:space="preserve">=</w:t>
      </w:r>
      <w:r>
        <w:rPr>
          <w:rStyle w:val="NormalTok"/>
        </w:rPr>
        <w:t xml:space="preserve"> </w:t>
      </w:r>
      <w:r>
        <w:rPr>
          <w:rStyle w:val="StringTok"/>
        </w:rPr>
        <w:t xml:space="preserve">"ESRI:54009"</w:t>
      </w:r>
      <w:r>
        <w:rPr>
          <w:rStyle w:val="NormalTok"/>
        </w:rPr>
        <w:t xml:space="preserve">  </w:t>
      </w:r>
      <w:r>
        <w:rPr>
          <w:rStyle w:val="CommentTok"/>
        </w:rPr>
        <w:t xml:space="preserve"># World Mollweide, the native grid of GHSL</w:t>
      </w:r>
      <w:r>
        <w:br/>
      </w:r>
      <w:r>
        <w:rPr>
          <w:rStyle w:val="NormalTok"/>
        </w:rPr>
        <w:t xml:space="preserve">EPOCHS </w:t>
      </w:r>
      <w:r>
        <w:rPr>
          <w:rStyle w:val="OperatorTok"/>
        </w:rPr>
        <w:t xml:space="preserve">=</w:t>
      </w:r>
      <w:r>
        <w:rPr>
          <w:rStyle w:val="NormalTok"/>
        </w:rPr>
        <w:t xml:space="preserve"> (</w:t>
      </w:r>
      <w:r>
        <w:rPr>
          <w:rStyle w:val="DecValTok"/>
        </w:rPr>
        <w:t xml:space="preserve">2020</w:t>
      </w:r>
      <w:r>
        <w:rPr>
          <w:rStyle w:val="NormalTok"/>
        </w:rPr>
        <w:t xml:space="preserve">, </w:t>
      </w:r>
      <w:r>
        <w:rPr>
          <w:rStyle w:val="DecValTok"/>
        </w:rPr>
        <w:t xml:space="preserve">2025</w:t>
      </w:r>
      <w:r>
        <w:rPr>
          <w:rStyle w:val="NormalTok"/>
        </w:rPr>
        <w:t xml:space="preserve">)  </w:t>
      </w:r>
      <w:r>
        <w:rPr>
          <w:rStyle w:val="CommentTok"/>
        </w:rPr>
        <w:t xml:space="preserve"># GHSL epochs (2025 is a model projection)</w:t>
      </w:r>
      <w:r>
        <w:br/>
      </w:r>
      <w:r>
        <w:rPr>
          <w:rStyle w:val="NormalTok"/>
        </w:rPr>
        <w:t xml:space="preserve">ESRI_YEARS </w:t>
      </w:r>
      <w:r>
        <w:rPr>
          <w:rStyle w:val="OperatorTok"/>
        </w:rPr>
        <w:t xml:space="preserve">=</w:t>
      </w:r>
      <w:r>
        <w:rPr>
          <w:rStyle w:val="NormalTok"/>
        </w:rPr>
        <w:t xml:space="preserve"> (</w:t>
      </w:r>
      <w:r>
        <w:rPr>
          <w:rStyle w:val="DecValTok"/>
        </w:rPr>
        <w:t xml:space="preserve">2020</w:t>
      </w:r>
      <w:r>
        <w:rPr>
          <w:rStyle w:val="NormalTok"/>
        </w:rPr>
        <w:t xml:space="preserve">, </w:t>
      </w:r>
      <w:r>
        <w:rPr>
          <w:rStyle w:val="DecValTok"/>
        </w:rPr>
        <w:t xml:space="preserve">2023</w:t>
      </w:r>
      <w:r>
        <w:rPr>
          <w:rStyle w:val="NormalTok"/>
        </w:rPr>
        <w:t xml:space="preserve">)  </w:t>
      </w:r>
      <w:r>
        <w:rPr>
          <w:rStyle w:val="CommentTok"/>
        </w:rPr>
        <w:t xml:space="preserve"># Esri annual land cover ends in 2023</w:t>
      </w:r>
      <w:r>
        <w:br/>
      </w:r>
      <w:r>
        <w:rPr>
          <w:rStyle w:val="NormalTok"/>
        </w:rPr>
        <w:t xml:space="preserve">OUT_DIR </w:t>
      </w:r>
      <w:r>
        <w:rPr>
          <w:rStyle w:val="OperatorTok"/>
        </w:rPr>
        <w:t xml:space="preserve">=</w:t>
      </w:r>
      <w:r>
        <w:rPr>
          <w:rStyle w:val="NormalTok"/>
        </w:rPr>
        <w:t xml:space="preserve"> </w:t>
      </w:r>
      <w:r>
        <w:rPr>
          <w:rStyle w:val="StringTok"/>
        </w:rPr>
        <w:t xml:space="preserve">"piura_out"</w:t>
      </w:r>
      <w:r>
        <w:rPr>
          <w:rStyle w:val="NormalTok"/>
        </w:rPr>
        <w:t xml:space="preserve">  </w:t>
      </w:r>
      <w:r>
        <w:rPr>
          <w:rStyle w:val="CommentTok"/>
        </w:rPr>
        <w:t xml:space="preserve"># pygeovision writes its rasters, vectors and reports here</w:t>
      </w:r>
      <w:r>
        <w:br/>
      </w:r>
      <w:r>
        <w:rPr>
          <w:rStyle w:val="NormalTok"/>
        </w:rPr>
        <w:t xml:space="preserve">CACHE </w:t>
      </w:r>
      <w:r>
        <w:rPr>
          <w:rStyle w:val="OperatorTok"/>
        </w:rPr>
        <w:t xml:space="preserve">=</w:t>
      </w:r>
      <w:r>
        <w:rPr>
          <w:rStyle w:val="NormalTok"/>
        </w:rPr>
        <w:t xml:space="preserve"> </w:t>
      </w:r>
      <w:r>
        <w:rPr>
          <w:rStyle w:val="StringTok"/>
        </w:rPr>
        <w:t xml:space="preserve">"piura_cache"</w:t>
      </w:r>
      <w:r>
        <w:rPr>
          <w:rStyle w:val="NormalTok"/>
        </w:rPr>
        <w:t xml:space="preserve">  </w:t>
      </w:r>
      <w:r>
        <w:rPr>
          <w:rStyle w:val="CommentTok"/>
        </w:rPr>
        <w:t xml:space="preserve"># downloaded GHSL tiles are kept here</w:t>
      </w:r>
    </w:p>
    <w:p>
      <w:pPr>
        <w:pStyle w:val="FirstParagraph"/>
      </w:pPr>
      <w:r>
        <w:rPr>
          <w:bCs/>
          <w:b/>
        </w:rPr>
        <w:t xml:space="preserve">A2. Building footprints with pygeovision (one run per source)</w:t>
      </w:r>
    </w:p>
    <w:p>
      <w:pPr>
        <w:pStyle w:val="SourceCode"/>
      </w:pPr>
      <w:r>
        <w:rPr>
          <w:rStyle w:val="NormalTok"/>
        </w:rPr>
        <w:t xml:space="preserve">FOOTPRINT_SOURCES </w:t>
      </w:r>
      <w:r>
        <w:rPr>
          <w:rStyle w:val="OperatorTok"/>
        </w:rPr>
        <w:t xml:space="preserve">=</w:t>
      </w:r>
      <w:r>
        <w:rPr>
          <w:rStyle w:val="NormalTok"/>
        </w:rPr>
        <w:t xml:space="preserve"> {</w:t>
      </w:r>
      <w:r>
        <w:rPr>
          <w:rStyle w:val="StringTok"/>
        </w:rPr>
        <w:t xml:space="preserve">"Microsoft"</w:t>
      </w:r>
      <w:r>
        <w:rPr>
          <w:rStyle w:val="NormalTok"/>
        </w:rPr>
        <w:t xml:space="preserve">: </w:t>
      </w:r>
      <w:r>
        <w:rPr>
          <w:rStyle w:val="StringTok"/>
        </w:rPr>
        <w:t xml:space="preserve">"microsoft"</w:t>
      </w:r>
      <w:r>
        <w:rPr>
          <w:rStyle w:val="NormalTok"/>
        </w:rPr>
        <w:t xml:space="preserve">, </w:t>
      </w:r>
      <w:r>
        <w:rPr>
          <w:rStyle w:val="StringTok"/>
        </w:rPr>
        <w:t xml:space="preserve">"Google"</w:t>
      </w:r>
      <w:r>
        <w:rPr>
          <w:rStyle w:val="NormalTok"/>
        </w:rPr>
        <w:t xml:space="preserve">: </w:t>
      </w:r>
      <w:r>
        <w:rPr>
          <w:rStyle w:val="StringTok"/>
        </w:rPr>
        <w:t xml:space="preserve">"google"</w:t>
      </w:r>
      <w:r>
        <w:rPr>
          <w:rStyle w:val="NormalTok"/>
        </w:rPr>
        <w:t xml:space="preserve">, </w:t>
      </w:r>
      <w:r>
        <w:rPr>
          <w:rStyle w:val="StringTok"/>
        </w:rPr>
        <w:t xml:space="preserve">"OSM"</w:t>
      </w:r>
      <w:r>
        <w:rPr>
          <w:rStyle w:val="NormalTok"/>
        </w:rPr>
        <w:t xml:space="preserve">: </w:t>
      </w:r>
      <w:r>
        <w:rPr>
          <w:rStyle w:val="StringTok"/>
        </w:rPr>
        <w:t xml:space="preserve">"osm"</w:t>
      </w:r>
      <w:r>
        <w:rPr>
          <w:rStyle w:val="NormalTok"/>
        </w:rPr>
        <w:t xml:space="preserve">}</w:t>
      </w:r>
      <w:r>
        <w:br/>
      </w:r>
      <w:r>
        <w:rPr>
          <w:rStyle w:val="NormalTok"/>
        </w:rPr>
        <w:t xml:space="preserve">fp_results </w:t>
      </w:r>
      <w:r>
        <w:rPr>
          <w:rStyle w:val="OperatorTok"/>
        </w:rPr>
        <w:t xml:space="preserve">=</w:t>
      </w:r>
      <w:r>
        <w:rPr>
          <w:rStyle w:val="NormalTok"/>
        </w:rPr>
        <w:t xml:space="preserve"> {}</w:t>
      </w:r>
      <w:r>
        <w:br/>
      </w:r>
      <w:r>
        <w:rPr>
          <w:rStyle w:val="ControlFlowTok"/>
        </w:rPr>
        <w:t xml:space="preserve">for</w:t>
      </w:r>
      <w:r>
        <w:rPr>
          <w:rStyle w:val="NormalTok"/>
        </w:rPr>
        <w:t xml:space="preserve"> _label, _src </w:t>
      </w:r>
      <w:r>
        <w:rPr>
          <w:rStyle w:val="KeywordTok"/>
        </w:rPr>
        <w:t xml:space="preserve">in</w:t>
      </w:r>
      <w:r>
        <w:rPr>
          <w:rStyle w:val="NormalTok"/>
        </w:rPr>
        <w:t xml:space="preserve"> FOOTPRINT_SOURCES.items():</w:t>
      </w:r>
      <w:r>
        <w:br/>
      </w:r>
      <w:r>
        <w:rPr>
          <w:rStyle w:val="NormalTok"/>
        </w:rPr>
        <w:t xml:space="preserve">    _extra </w:t>
      </w:r>
      <w:r>
        <w:rPr>
          <w:rStyle w:val="OperatorTok"/>
        </w:rPr>
        <w:t xml:space="preserve">=</w:t>
      </w:r>
      <w:r>
        <w:rPr>
          <w:rStyle w:val="NormalTok"/>
        </w:rPr>
        <w:t xml:space="preserve"> {</w:t>
      </w:r>
      <w:r>
        <w:rPr>
          <w:rStyle w:val="StringTok"/>
        </w:rPr>
        <w:t xml:space="preserve">"min_confidence"</w:t>
      </w:r>
      <w:r>
        <w:rPr>
          <w:rStyle w:val="NormalTok"/>
        </w:rPr>
        <w:t xml:space="preserve">: </w:t>
      </w:r>
      <w:r>
        <w:rPr>
          <w:rStyle w:val="FloatTok"/>
        </w:rPr>
        <w:t xml:space="preserve">0.75</w:t>
      </w:r>
      <w:r>
        <w:rPr>
          <w:rStyle w:val="NormalTok"/>
        </w:rPr>
        <w:t xml:space="preserve">} </w:t>
      </w:r>
      <w:r>
        <w:rPr>
          <w:rStyle w:val="ControlFlowTok"/>
        </w:rPr>
        <w:t xml:space="preserve">if</w:t>
      </w:r>
      <w:r>
        <w:rPr>
          <w:rStyle w:val="NormalTok"/>
        </w:rPr>
        <w:t xml:space="preserve"> _src </w:t>
      </w:r>
      <w:r>
        <w:rPr>
          <w:rStyle w:val="OperatorTok"/>
        </w:rPr>
        <w:t xml:space="preserve">==</w:t>
      </w:r>
      <w:r>
        <w:rPr>
          <w:rStyle w:val="NormalTok"/>
        </w:rPr>
        <w:t xml:space="preserve"> </w:t>
      </w:r>
      <w:r>
        <w:rPr>
          <w:rStyle w:val="StringTok"/>
        </w:rPr>
        <w:t xml:space="preserve">"google"</w:t>
      </w:r>
      <w:r>
        <w:rPr>
          <w:rStyle w:val="NormalTok"/>
        </w:rPr>
        <w:t xml:space="preserve"> </w:t>
      </w:r>
      <w:r>
        <w:rPr>
          <w:rStyle w:val="ControlFlowTok"/>
        </w:rPr>
        <w:t xml:space="preserve">else</w:t>
      </w:r>
      <w:r>
        <w:rPr>
          <w:rStyle w:val="NormalTok"/>
        </w:rPr>
        <w:t xml:space="preserve"> {}  </w:t>
      </w:r>
      <w:r>
        <w:rPr>
          <w:rStyle w:val="CommentTok"/>
        </w:rPr>
        <w:t xml:space="preserve"># same threshold as Session 2</w:t>
      </w:r>
      <w:r>
        <w:br/>
      </w:r>
      <w:r>
        <w:rPr>
          <w:rStyle w:val="NormalTok"/>
        </w:rPr>
        <w:t xml:space="preserve">    fp_results[_label] </w:t>
      </w:r>
      <w:r>
        <w:rPr>
          <w:rStyle w:val="OperatorTok"/>
        </w:rPr>
        <w:t xml:space="preserve">=</w:t>
      </w:r>
      <w:r>
        <w:rPr>
          <w:rStyle w:val="NormalTok"/>
        </w:rPr>
        <w:t xml:space="preserve"> pgv.pipeline(</w:t>
      </w:r>
      <w:r>
        <w:br/>
      </w:r>
      <w:r>
        <w:rPr>
          <w:rStyle w:val="NormalTok"/>
        </w:rPr>
        <w:t xml:space="preserve">        </w:t>
      </w:r>
      <w:r>
        <w:rPr>
          <w:rStyle w:val="StringTok"/>
        </w:rPr>
        <w:t xml:space="preserve">"building_footprints"</w:t>
      </w:r>
      <w:r>
        <w:rPr>
          <w:rStyle w:val="NormalTok"/>
        </w:rPr>
        <w:t xml:space="preserve">,</w:t>
      </w:r>
      <w:r>
        <w:br/>
      </w:r>
      <w:r>
        <w:rPr>
          <w:rStyle w:val="NormalTok"/>
        </w:rPr>
        <w:t xml:space="preserve">        bbox</w:t>
      </w:r>
      <w:r>
        <w:rPr>
          <w:rStyle w:val="OperatorTok"/>
        </w:rPr>
        <w:t xml:space="preserve">=</w:t>
      </w:r>
      <w:r>
        <w:rPr>
          <w:rStyle w:val="NormalTok"/>
        </w:rPr>
        <w:t xml:space="preserve">AOI_BBOX,</w:t>
      </w:r>
      <w:r>
        <w:br/>
      </w:r>
      <w:r>
        <w:rPr>
          <w:rStyle w:val="NormalTok"/>
        </w:rPr>
        <w:t xml:space="preserve">        source</w:t>
      </w:r>
      <w:r>
        <w:rPr>
          <w:rStyle w:val="OperatorTok"/>
        </w:rPr>
        <w:t xml:space="preserve">=</w:t>
      </w:r>
      <w:r>
        <w:rPr>
          <w:rStyle w:val="NormalTok"/>
        </w:rPr>
        <w:t xml:space="preserve">_src,</w:t>
      </w:r>
      <w:r>
        <w:br/>
      </w:r>
      <w:r>
        <w:rPr>
          <w:rStyle w:val="NormalTok"/>
        </w:rPr>
        <w:t xml:space="preserve">        cell_m</w:t>
      </w:r>
      <w:r>
        <w:rPr>
          <w:rStyle w:val="OperatorTok"/>
        </w:rPr>
        <w:t xml:space="preserve">=</w:t>
      </w:r>
      <w:r>
        <w:rPr>
          <w:rStyle w:val="DecValTok"/>
        </w:rPr>
        <w:t xml:space="preserve">100</w:t>
      </w:r>
      <w:r>
        <w:rPr>
          <w:rStyle w:val="NormalTok"/>
        </w:rPr>
        <w:t xml:space="preserve">,</w:t>
      </w:r>
      <w:r>
        <w:br/>
      </w:r>
      <w:r>
        <w:rPr>
          <w:rStyle w:val="NormalTok"/>
        </w:rPr>
        <w:t xml:space="preserve">        output_dir</w:t>
      </w:r>
      <w:r>
        <w:rPr>
          <w:rStyle w:val="OperatorTok"/>
        </w:rPr>
        <w:t xml:space="preserve">=</w:t>
      </w:r>
      <w:r>
        <w:rPr>
          <w:rStyle w:val="SpecialStringTok"/>
        </w:rPr>
        <w:t xml:space="preserve">f"</w:t>
      </w:r>
      <w:r>
        <w:rPr>
          <w:rStyle w:val="SpecialCharTok"/>
        </w:rPr>
        <w:t xml:space="preserve">{</w:t>
      </w:r>
      <w:r>
        <w:rPr>
          <w:rStyle w:val="NormalTok"/>
        </w:rPr>
        <w:t xml:space="preserve">OUT_DIR</w:t>
      </w:r>
      <w:r>
        <w:rPr>
          <w:rStyle w:val="SpecialCharTok"/>
        </w:rPr>
        <w:t xml:space="preserve">}</w:t>
      </w:r>
      <w:r>
        <w:rPr>
          <w:rStyle w:val="SpecialStringTok"/>
        </w:rPr>
        <w:t xml:space="preserve">/footprints_</w:t>
      </w:r>
      <w:r>
        <w:rPr>
          <w:rStyle w:val="SpecialCharTok"/>
        </w:rPr>
        <w:t xml:space="preserve">{</w:t>
      </w:r>
      <w:r>
        <w:rPr>
          <w:rStyle w:val="NormalTok"/>
        </w:rPr>
        <w:t xml:space="preserve">_src</w:t>
      </w:r>
      <w:r>
        <w:rPr>
          <w:rStyle w:val="SpecialCharTok"/>
        </w:rPr>
        <w:t xml:space="preserve">}</w:t>
      </w:r>
      <w:r>
        <w:rPr>
          <w:rStyle w:val="SpecialStringTok"/>
        </w:rPr>
        <w:t xml:space="preserve">"</w:t>
      </w:r>
      <w:r>
        <w:rPr>
          <w:rStyle w:val="NormalTok"/>
        </w:rPr>
        <w:t xml:space="preserve">,</w:t>
      </w:r>
      <w:r>
        <w:br/>
      </w:r>
      <w:r>
        <w:rPr>
          <w:rStyle w:val="NormalTok"/>
        </w:rPr>
        <w:t xml:space="preserve">        report</w:t>
      </w:r>
      <w:r>
        <w:rPr>
          <w:rStyle w:val="OperatorTok"/>
        </w:rPr>
        <w:t xml:space="preserve">=</w:t>
      </w:r>
      <w:r>
        <w:rPr>
          <w:rStyle w:val="VariableTok"/>
        </w:rPr>
        <w:t xml:space="preserve">False</w:t>
      </w:r>
      <w:r>
        <w:rPr>
          <w:rStyle w:val="NormalTok"/>
        </w:rPr>
        <w:t xml:space="preserve">,  </w:t>
      </w:r>
      <w:r>
        <w:rPr>
          <w:rStyle w:val="CommentTok"/>
        </w:rPr>
        <w:t xml:space="preserve"># skip pygeovision's own PDF/Word/Excel reports</w:t>
      </w:r>
      <w:r>
        <w:br/>
      </w:r>
      <w:r>
        <w:rPr>
          <w:rStyle w:val="NormalTok"/>
        </w:rPr>
        <w:t xml:space="preserve">        </w:t>
      </w:r>
      <w:r>
        <w:rPr>
          <w:rStyle w:val="OperatorTok"/>
        </w:rPr>
        <w:t xml:space="preserve">**</w:t>
      </w:r>
      <w:r>
        <w:rPr>
          <w:rStyle w:val="NormalTok"/>
        </w:rPr>
        <w:t xml:space="preserve">_extra,</w:t>
      </w:r>
      <w:r>
        <w:br/>
      </w:r>
      <w:r>
        <w:rPr>
          <w:rStyle w:val="NormalTok"/>
        </w:rPr>
        <w:t xml:space="preserve">    )</w:t>
      </w:r>
      <w:r>
        <w:br/>
      </w:r>
      <w:r>
        <w:br/>
      </w:r>
      <w:r>
        <w:rPr>
          <w:rStyle w:val="NormalTok"/>
        </w:rPr>
        <w:t xml:space="preserve">pd.DataFrame(</w:t>
      </w:r>
      <w:r>
        <w:br/>
      </w:r>
      <w:r>
        <w:rPr>
          <w:rStyle w:val="NormalTok"/>
        </w:rPr>
        <w:t xml:space="preserve">    [</w:t>
      </w:r>
      <w:r>
        <w:br/>
      </w:r>
      <w:r>
        <w:rPr>
          <w:rStyle w:val="NormalTok"/>
        </w:rPr>
        <w:t xml:space="preserve">        {</w:t>
      </w:r>
      <w:r>
        <w:rPr>
          <w:rStyle w:val="StringTok"/>
        </w:rPr>
        <w:t xml:space="preserve">"source"</w:t>
      </w:r>
      <w:r>
        <w:rPr>
          <w:rStyle w:val="NormalTok"/>
        </w:rPr>
        <w:t xml:space="preserve">: k, </w:t>
      </w:r>
      <w:r>
        <w:rPr>
          <w:rStyle w:val="StringTok"/>
        </w:rPr>
        <w:t xml:space="preserve">"success"</w:t>
      </w:r>
      <w:r>
        <w:rPr>
          <w:rStyle w:val="NormalTok"/>
        </w:rPr>
        <w:t xml:space="preserve">: r.success, </w:t>
      </w:r>
      <w:r>
        <w:rPr>
          <w:rStyle w:val="StringTok"/>
        </w:rPr>
        <w:t xml:space="preserve">"message"</w:t>
      </w:r>
      <w:r>
        <w:rPr>
          <w:rStyle w:val="NormalTok"/>
        </w:rPr>
        <w:t xml:space="preserve">: (r.error </w:t>
      </w:r>
      <w:r>
        <w:rPr>
          <w:rStyle w:val="KeywordTok"/>
        </w:rPr>
        <w:t xml:space="preserve">or</w:t>
      </w:r>
      <w:r>
        <w:rPr>
          <w:rStyle w:val="NormalTok"/>
        </w:rPr>
        <w:t xml:space="preserve"> </w:t>
      </w:r>
      <w:r>
        <w:rPr>
          <w:rStyle w:val="StringTok"/>
        </w:rPr>
        <w:t xml:space="preserve">"ok"</w:t>
      </w:r>
      <w:r>
        <w:rPr>
          <w:rStyle w:val="NormalTok"/>
        </w:rPr>
        <w:t xml:space="preserve">)[:</w:t>
      </w:r>
      <w:r>
        <w:rPr>
          <w:rStyle w:val="DecValTok"/>
        </w:rPr>
        <w:t xml:space="preserve">150</w:t>
      </w:r>
      <w:r>
        <w:rPr>
          <w:rStyle w:val="NormalTok"/>
        </w:rPr>
        <w:t xml:space="preserve">]}</w:t>
      </w:r>
      <w:r>
        <w:br/>
      </w:r>
      <w:r>
        <w:rPr>
          <w:rStyle w:val="NormalTok"/>
        </w:rPr>
        <w:t xml:space="preserve">        </w:t>
      </w:r>
      <w:r>
        <w:rPr>
          <w:rStyle w:val="ControlFlowTok"/>
        </w:rPr>
        <w:t xml:space="preserve">for</w:t>
      </w:r>
      <w:r>
        <w:rPr>
          <w:rStyle w:val="NormalTok"/>
        </w:rPr>
        <w:t xml:space="preserve"> k, r </w:t>
      </w:r>
      <w:r>
        <w:rPr>
          <w:rStyle w:val="KeywordTok"/>
        </w:rPr>
        <w:t xml:space="preserve">in</w:t>
      </w:r>
      <w:r>
        <w:rPr>
          <w:rStyle w:val="NormalTok"/>
        </w:rPr>
        <w:t xml:space="preserve"> fp_results.items()</w:t>
      </w:r>
      <w:r>
        <w:br/>
      </w:r>
      <w:r>
        <w:rPr>
          <w:rStyle w:val="NormalTok"/>
        </w:rPr>
        <w:t xml:space="preserve">    ]</w:t>
      </w:r>
      <w:r>
        <w:br/>
      </w:r>
      <w:r>
        <w:rPr>
          <w:rStyle w:val="NormalTok"/>
        </w:rPr>
        <w:t xml:space="preserve">)</w:t>
      </w:r>
    </w:p>
    <w:p>
      <w:pPr>
        <w:pStyle w:val="FirstParagraph"/>
      </w:pPr>
      <w:r>
        <w:rPr>
          <w:bCs/>
          <w:b/>
        </w:rPr>
        <w:t xml:space="preserve">A3. Sentinel-2 from the Planetary Computer: newest date that is cloud-free over the AOI</w:t>
      </w:r>
    </w:p>
    <w:p>
      <w:pPr>
        <w:pStyle w:val="SourceCode"/>
      </w:pPr>
      <w:r>
        <w:rPr>
          <w:rStyle w:val="NormalTok"/>
        </w:rPr>
        <w:t xml:space="preserve">pc </w:t>
      </w:r>
      <w:r>
        <w:rPr>
          <w:rStyle w:val="OperatorTok"/>
        </w:rPr>
        <w:t xml:space="preserve">=</w:t>
      </w:r>
      <w:r>
        <w:rPr>
          <w:rStyle w:val="NormalTok"/>
        </w:rPr>
        <w:t xml:space="preserve"> PlanetaryComputer()</w:t>
      </w:r>
      <w:r>
        <w:br/>
      </w:r>
      <w:r>
        <w:rPr>
          <w:rStyle w:val="NormalTok"/>
        </w:rPr>
        <w:t xml:space="preserve">_end </w:t>
      </w:r>
      <w:r>
        <w:rPr>
          <w:rStyle w:val="OperatorTok"/>
        </w:rPr>
        <w:t xml:space="preserve">=</w:t>
      </w:r>
      <w:r>
        <w:rPr>
          <w:rStyle w:val="NormalTok"/>
        </w:rPr>
        <w:t xml:space="preserve"> pd.Timestamp.now().normalize()</w:t>
      </w:r>
      <w:r>
        <w:br/>
      </w:r>
      <w:r>
        <w:rPr>
          <w:rStyle w:val="NormalTok"/>
        </w:rPr>
        <w:t xml:space="preserve">_start </w:t>
      </w:r>
      <w:r>
        <w:rPr>
          <w:rStyle w:val="OperatorTok"/>
        </w:rPr>
        <w:t xml:space="preserve">=</w:t>
      </w:r>
      <w:r>
        <w:rPr>
          <w:rStyle w:val="NormalTok"/>
        </w:rPr>
        <w:t xml:space="preserve"> _end </w:t>
      </w:r>
      <w:r>
        <w:rPr>
          <w:rStyle w:val="OperatorTok"/>
        </w:rPr>
        <w:t xml:space="preserve">-</w:t>
      </w:r>
      <w:r>
        <w:rPr>
          <w:rStyle w:val="NormalTok"/>
        </w:rPr>
        <w:t xml:space="preserve"> pd.DateOffset(years</w:t>
      </w:r>
      <w:r>
        <w:rPr>
          <w:rStyle w:val="OperatorTok"/>
        </w:rPr>
        <w:t xml:space="preserve">=</w:t>
      </w:r>
      <w:r>
        <w:rPr>
          <w:rStyle w:val="DecValTok"/>
        </w:rPr>
        <w:t xml:space="preserve">1</w:t>
      </w:r>
      <w:r>
        <w:rPr>
          <w:rStyle w:val="NormalTok"/>
        </w:rPr>
        <w:t xml:space="preserve">)</w:t>
      </w:r>
      <w:r>
        <w:br/>
      </w:r>
      <w:r>
        <w:rPr>
          <w:rStyle w:val="NormalTok"/>
        </w:rPr>
        <w:t xml:space="preserve">_items </w:t>
      </w:r>
      <w:r>
        <w:rPr>
          <w:rStyle w:val="OperatorTok"/>
        </w:rPr>
        <w:t xml:space="preserve">=</w:t>
      </w:r>
      <w:r>
        <w:rPr>
          <w:rStyle w:val="NormalTok"/>
        </w:rPr>
        <w:t xml:space="preserve"> pc.search(</w:t>
      </w:r>
      <w:r>
        <w:rPr>
          <w:rStyle w:val="StringTok"/>
        </w:rPr>
        <w:t xml:space="preserve">"sentinel-2-l2a"</w:t>
      </w:r>
      <w:r>
        <w:rPr>
          <w:rStyle w:val="NormalTok"/>
        </w:rPr>
        <w:t xml:space="preserve">, AOI_BBOX, datetime</w:t>
      </w:r>
      <w:r>
        <w:rPr>
          <w:rStyle w:val="OperatorTok"/>
        </w:rPr>
        <w:t xml:space="preserve">=</w:t>
      </w:r>
      <w:r>
        <w:rPr>
          <w:rStyle w:val="SpecialStringTok"/>
        </w:rPr>
        <w:t xml:space="preserve">f"</w:t>
      </w:r>
      <w:r>
        <w:rPr>
          <w:rStyle w:val="SpecialCharTok"/>
        </w:rPr>
        <w:t xml:space="preserve">{</w:t>
      </w:r>
      <w:r>
        <w:rPr>
          <w:rStyle w:val="NormalTok"/>
        </w:rPr>
        <w:t xml:space="preserve">_start</w:t>
      </w:r>
      <w:r>
        <w:rPr>
          <w:rStyle w:val="SpecialCharTok"/>
        </w:rPr>
        <w:t xml:space="preserve">:</w:t>
      </w:r>
      <w:r>
        <w:rPr>
          <w:rStyle w:val="OperatorTok"/>
        </w:rPr>
        <w:t xml:space="preserve">%</w:t>
      </w:r>
      <w:r>
        <w:rPr>
          <w:rStyle w:val="NormalTok"/>
        </w:rPr>
        <w:t xml:space="preserve">Y</w:t>
      </w:r>
      <w:r>
        <w:rPr>
          <w:rStyle w:val="OperatorTok"/>
        </w:rPr>
        <w:t xml:space="preserve">-%</w:t>
      </w:r>
      <w:r>
        <w:rPr>
          <w:rStyle w:val="NormalTok"/>
        </w:rPr>
        <w:t xml:space="preserve">m</w:t>
      </w:r>
      <w:r>
        <w:rPr>
          <w:rStyle w:val="OperatorTok"/>
        </w:rPr>
        <w:t xml:space="preserve">-%</w:t>
      </w:r>
      <w:r>
        <w:rPr>
          <w:rStyle w:val="NormalTok"/>
        </w:rPr>
        <w:t xml:space="preserve">d</w:t>
      </w:r>
      <w:r>
        <w:rPr>
          <w:rStyle w:val="SpecialCharTok"/>
        </w:rPr>
        <w:t xml:space="preserve">}</w:t>
      </w:r>
      <w:r>
        <w:rPr>
          <w:rStyle w:val="SpecialStringTok"/>
        </w:rPr>
        <w:t xml:space="preserve">/</w:t>
      </w:r>
      <w:r>
        <w:rPr>
          <w:rStyle w:val="SpecialCharTok"/>
        </w:rPr>
        <w:t xml:space="preserve">{</w:t>
      </w:r>
      <w:r>
        <w:rPr>
          <w:rStyle w:val="NormalTok"/>
        </w:rPr>
        <w:t xml:space="preserve">_end</w:t>
      </w:r>
      <w:r>
        <w:rPr>
          <w:rStyle w:val="SpecialCharTok"/>
        </w:rPr>
        <w:t xml:space="preserve">:</w:t>
      </w:r>
      <w:r>
        <w:rPr>
          <w:rStyle w:val="OperatorTok"/>
        </w:rPr>
        <w:t xml:space="preserve">%</w:t>
      </w:r>
      <w:r>
        <w:rPr>
          <w:rStyle w:val="NormalTok"/>
        </w:rPr>
        <w:t xml:space="preserve">Y</w:t>
      </w:r>
      <w:r>
        <w:rPr>
          <w:rStyle w:val="OperatorTok"/>
        </w:rPr>
        <w:t xml:space="preserve">-%</w:t>
      </w:r>
      <w:r>
        <w:rPr>
          <w:rStyle w:val="NormalTok"/>
        </w:rPr>
        <w:t xml:space="preserve">m</w:t>
      </w:r>
      <w:r>
        <w:rPr>
          <w:rStyle w:val="Operato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w:t>
      </w:r>
      <w:r>
        <w:br/>
      </w:r>
      <w:r>
        <w:rPr>
          <w:rStyle w:val="NormalTok"/>
        </w:rPr>
        <w:t xml:space="preserve">_items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_items </w:t>
      </w:r>
      <w:r>
        <w:rPr>
          <w:rStyle w:val="ControlFlowTok"/>
        </w:rPr>
        <w:t xml:space="preserve">if</w:t>
      </w:r>
      <w:r>
        <w:rPr>
          <w:rStyle w:val="NormalTok"/>
        </w:rPr>
        <w:t xml:space="preserve"> i[</w:t>
      </w:r>
      <w:r>
        <w:rPr>
          <w:rStyle w:val="StringTok"/>
        </w:rPr>
        <w:t xml:space="preserve">"properties"</w:t>
      </w:r>
      <w:r>
        <w:rPr>
          <w:rStyle w:val="NormalTok"/>
        </w:rPr>
        <w:t xml:space="preserve">].get(</w:t>
      </w:r>
      <w:r>
        <w:rPr>
          <w:rStyle w:val="StringTok"/>
        </w:rPr>
        <w:t xml:space="preserve">"eo:cloud_cover"</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w:t>
      </w:r>
      <w:r>
        <w:br/>
      </w:r>
      <w:r>
        <w:br/>
      </w:r>
      <w:r>
        <w:rPr>
          <w:rStyle w:val="CommentTok"/>
        </w:rPr>
        <w:t xml:space="preserve"># group the scenes by acquisition date (the AOI may touch two Sentinel-2 tiles on the same day)</w:t>
      </w:r>
      <w:r>
        <w:br/>
      </w:r>
      <w:r>
        <w:rPr>
          <w:rStyle w:val="NormalTok"/>
        </w:rPr>
        <w:t xml:space="preserve">_by_date </w:t>
      </w:r>
      <w:r>
        <w:rPr>
          <w:rStyle w:val="OperatorTok"/>
        </w:rPr>
        <w:t xml:space="preserve">=</w:t>
      </w:r>
      <w:r>
        <w:rPr>
          <w:rStyle w:val="NormalTok"/>
        </w:rPr>
        <w:t xml:space="preserve"> {}</w:t>
      </w:r>
      <w:r>
        <w:br/>
      </w:r>
      <w:r>
        <w:rPr>
          <w:rStyle w:val="ControlFlowTok"/>
        </w:rPr>
        <w:t xml:space="preserve">for</w:t>
      </w:r>
      <w:r>
        <w:rPr>
          <w:rStyle w:val="NormalTok"/>
        </w:rPr>
        <w:t xml:space="preserve"> _it </w:t>
      </w:r>
      <w:r>
        <w:rPr>
          <w:rStyle w:val="KeywordTok"/>
        </w:rPr>
        <w:t xml:space="preserve">in</w:t>
      </w:r>
      <w:r>
        <w:rPr>
          <w:rStyle w:val="NormalTok"/>
        </w:rPr>
        <w:t xml:space="preserve"> _items:</w:t>
      </w:r>
      <w:r>
        <w:br/>
      </w:r>
      <w:r>
        <w:rPr>
          <w:rStyle w:val="NormalTok"/>
        </w:rPr>
        <w:t xml:space="preserve">    _by_date.setdefault(_it[</w:t>
      </w:r>
      <w:r>
        <w:rPr>
          <w:rStyle w:val="StringTok"/>
        </w:rPr>
        <w:t xml:space="preserve">"properties"</w:t>
      </w:r>
      <w:r>
        <w:rPr>
          <w:rStyle w:val="NormalTok"/>
        </w:rPr>
        <w:t xml:space="preserve">][</w:t>
      </w:r>
      <w:r>
        <w:rPr>
          <w:rStyle w:val="StringTok"/>
        </w:rPr>
        <w:t xml:space="preserve">"datetime"</w:t>
      </w:r>
      <w:r>
        <w:rPr>
          <w:rStyle w:val="NormalTok"/>
        </w:rPr>
        <w:t xml:space="preserve">][:</w:t>
      </w:r>
      <w:r>
        <w:rPr>
          <w:rStyle w:val="DecValTok"/>
        </w:rPr>
        <w:t xml:space="preserve">10</w:t>
      </w:r>
      <w:r>
        <w:rPr>
          <w:rStyle w:val="NormalTok"/>
        </w:rPr>
        <w:t xml:space="preserve">], []).append(_it)</w:t>
      </w:r>
      <w:r>
        <w:br/>
      </w:r>
      <w:r>
        <w:rPr>
          <w:rStyle w:val="NormalTok"/>
        </w:rPr>
        <w:t xml:space="preserve">_dates </w:t>
      </w:r>
      <w:r>
        <w:rPr>
          <w:rStyle w:val="OperatorTok"/>
        </w:rPr>
        <w:t xml:space="preserve">=</w:t>
      </w:r>
      <w:r>
        <w:rPr>
          <w:rStyle w:val="NormalTok"/>
        </w:rPr>
        <w:t xml:space="preserve"> </w:t>
      </w:r>
      <w:r>
        <w:rPr>
          <w:rStyle w:val="BuiltInTok"/>
        </w:rPr>
        <w:t xml:space="preserve">sorted</w:t>
      </w:r>
      <w:r>
        <w:rPr>
          <w:rStyle w:val="NormalTok"/>
        </w:rPr>
        <w:t xml:space="preserve">(_by_date, reverse</w:t>
      </w:r>
      <w:r>
        <w:rPr>
          <w:rStyle w:val="OperatorTok"/>
        </w:rPr>
        <w:t xml:space="preserve">=</w:t>
      </w:r>
      <w:r>
        <w:rPr>
          <w:rStyle w:val="VariableTok"/>
        </w:rPr>
        <w:t xml:space="preserve">True</w:t>
      </w:r>
      <w:r>
        <w:rPr>
          <w:rStyle w:val="NormalTok"/>
        </w:rPr>
        <w:t xml:space="preserve">)</w:t>
      </w:r>
      <w:r>
        <w:br/>
      </w:r>
      <w:r>
        <w:br/>
      </w:r>
      <w:r>
        <w:rPr>
          <w:rStyle w:val="NormalTok"/>
        </w:rPr>
        <w:t xml:space="preserve">_grid20 </w:t>
      </w:r>
      <w:r>
        <w:rPr>
          <w:rStyle w:val="OperatorTok"/>
        </w:rPr>
        <w:t xml:space="preserve">=</w:t>
      </w:r>
      <w:r>
        <w:rPr>
          <w:rStyle w:val="NormalTok"/>
        </w:rPr>
        <w:t xml:space="preserve"> make_grid(AOI_BBOX, </w:t>
      </w:r>
      <w:r>
        <w:rPr>
          <w:rStyle w:val="DecValTok"/>
        </w:rPr>
        <w:t xml:space="preserve">20</w:t>
      </w:r>
      <w:r>
        <w:rPr>
          <w:rStyle w:val="NormalTok"/>
        </w:rPr>
        <w:t xml:space="preserve">, UTM)</w:t>
      </w:r>
      <w:r>
        <w:br/>
      </w:r>
      <w:r>
        <w:rPr>
          <w:rStyle w:val="NormalTok"/>
        </w:rPr>
        <w:t xml:space="preserve">best_date, best_items, _checked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DecValTok"/>
        </w:rPr>
        <w:t xml:space="preserve">0</w:t>
      </w:r>
      <w:r>
        <w:br/>
      </w:r>
      <w:r>
        <w:rPr>
          <w:rStyle w:val="ControlFlowTok"/>
        </w:rPr>
        <w:t xml:space="preserve">for</w:t>
      </w:r>
      <w:r>
        <w:rPr>
          <w:rStyle w:val="NormalTok"/>
        </w:rPr>
        <w:t xml:space="preserve"> _d </w:t>
      </w:r>
      <w:r>
        <w:rPr>
          <w:rStyle w:val="KeywordTok"/>
        </w:rPr>
        <w:t xml:space="preserve">in</w:t>
      </w:r>
      <w:r>
        <w:rPr>
          <w:rStyle w:val="NormalTok"/>
        </w:rPr>
        <w:t xml:space="preserve"> _dates[:</w:t>
      </w:r>
      <w:r>
        <w:rPr>
          <w:rStyle w:val="DecValTok"/>
        </w:rPr>
        <w:t xml:space="preserve">25</w:t>
      </w:r>
      <w:r>
        <w:rPr>
          <w:rStyle w:val="NormalTok"/>
        </w:rPr>
        <w:t xml:space="preserve">]:</w:t>
      </w:r>
      <w:r>
        <w:br/>
      </w:r>
      <w:r>
        <w:rPr>
          <w:rStyle w:val="NormalTok"/>
        </w:rPr>
        <w:t xml:space="preserve">    _checked </w:t>
      </w:r>
      <w:r>
        <w:rPr>
          <w:rStyle w:val="OperatorTok"/>
        </w:rPr>
        <w:t xml:space="preserve">+=</w:t>
      </w:r>
      <w:r>
        <w:rPr>
          <w:rStyle w:val="NormalTok"/>
        </w:rPr>
        <w:t xml:space="preserve"> </w:t>
      </w:r>
      <w:r>
        <w:rPr>
          <w:rStyle w:val="DecValTok"/>
        </w:rPr>
        <w:t xml:space="preserve">1</w:t>
      </w:r>
      <w:r>
        <w:br/>
      </w:r>
      <w:r>
        <w:rPr>
          <w:rStyle w:val="NormalTok"/>
        </w:rPr>
        <w:t xml:space="preserve">    _scl </w:t>
      </w:r>
      <w:r>
        <w:rPr>
          <w:rStyle w:val="OperatorTok"/>
        </w:rPr>
        <w:t xml:space="preserve">=</w:t>
      </w:r>
      <w:r>
        <w:rPr>
          <w:rStyle w:val="NormalTok"/>
        </w:rPr>
        <w:t xml:space="preserve"> read_to_grid(pc.asset_urls(</w:t>
      </w:r>
      <w:r>
        <w:rPr>
          <w:rStyle w:val="StringTok"/>
        </w:rPr>
        <w:t xml:space="preserve">"sentinel-2-l2a"</w:t>
      </w:r>
      <w:r>
        <w:rPr>
          <w:rStyle w:val="NormalTok"/>
        </w:rPr>
        <w:t xml:space="preserve">, _by_date[_d], </w:t>
      </w:r>
      <w:r>
        <w:rPr>
          <w:rStyle w:val="StringTok"/>
        </w:rPr>
        <w:t xml:space="preserve">"SCL"</w:t>
      </w:r>
      <w:r>
        <w:rPr>
          <w:rStyle w:val="NormalTok"/>
        </w:rPr>
        <w:t xml:space="preserve">), _grid20).data</w:t>
      </w:r>
      <w:r>
        <w:br/>
      </w:r>
      <w:r>
        <w:rPr>
          <w:rStyle w:val="NormalTok"/>
        </w:rPr>
        <w:t xml:space="preserve">    _valid </w:t>
      </w:r>
      <w:r>
        <w:rPr>
          <w:rStyle w:val="OperatorTok"/>
        </w:rPr>
        <w:t xml:space="preserve">=</w:t>
      </w:r>
      <w:r>
        <w:rPr>
          <w:rStyle w:val="NormalTok"/>
        </w:rPr>
        <w:t xml:space="preserve"> np.isfinite(_scl)</w:t>
      </w:r>
      <w:r>
        <w:br/>
      </w:r>
      <w:r>
        <w:rPr>
          <w:rStyle w:val="NormalTok"/>
        </w:rPr>
        <w:t xml:space="preserve">    _cloudy </w:t>
      </w:r>
      <w:r>
        <w:rPr>
          <w:rStyle w:val="OperatorTok"/>
        </w:rPr>
        <w:t xml:space="preserve">=</w:t>
      </w:r>
      <w:r>
        <w:rPr>
          <w:rStyle w:val="NormalTok"/>
        </w:rPr>
        <w:t xml:space="preserve"> np.isin(_scl, [</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_valid  </w:t>
      </w:r>
      <w:r>
        <w:rPr>
          <w:rStyle w:val="CommentTok"/>
        </w:rPr>
        <w:t xml:space="preserve"># cloud shadow, cloud, cirrus or no data</w:t>
      </w:r>
      <w:r>
        <w:br/>
      </w:r>
      <w:r>
        <w:rPr>
          <w:rStyle w:val="NormalTok"/>
        </w:rPr>
        <w:t xml:space="preserve">    </w:t>
      </w:r>
      <w:r>
        <w:rPr>
          <w:rStyle w:val="ControlFlowTok"/>
        </w:rPr>
        <w:t xml:space="preserve">if</w:t>
      </w:r>
      <w:r>
        <w:rPr>
          <w:rStyle w:val="NormalTok"/>
        </w:rPr>
        <w:t xml:space="preserve"> _cloudy.mean()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best_date, best_items </w:t>
      </w:r>
      <w:r>
        <w:rPr>
          <w:rStyle w:val="OperatorTok"/>
        </w:rPr>
        <w:t xml:space="preserve">=</w:t>
      </w:r>
      <w:r>
        <w:rPr>
          <w:rStyle w:val="NormalTok"/>
        </w:rPr>
        <w:t xml:space="preserve"> pd.Timestamp(_d), _by_date[_d]</w:t>
      </w:r>
      <w:r>
        <w:br/>
      </w:r>
      <w:r>
        <w:rPr>
          <w:rStyle w:val="NormalTok"/>
        </w:rPr>
        <w:t xml:space="preserve">        </w:t>
      </w:r>
      <w:r>
        <w:rPr>
          <w:rStyle w:val="ControlFlowTok"/>
        </w:rPr>
        <w:t xml:space="preserve">break</w:t>
      </w:r>
      <w:r>
        <w:br/>
      </w:r>
      <w:r>
        <w:rPr>
          <w:rStyle w:val="ControlFlowTok"/>
        </w:rPr>
        <w:t xml:space="preserve">if</w:t>
      </w:r>
      <w:r>
        <w:rPr>
          <w:rStyle w:val="NormalTok"/>
        </w:rPr>
        <w:t xml:space="preserve"> best_date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"No cloud-free Sentinel-2 date over the AOI in the last 12 months."</w:t>
      </w:r>
      <w:r>
        <w:rPr>
          <w:rStyle w:val="NormalTok"/>
        </w:rPr>
        <w:t xml:space="preserve">)</w:t>
      </w:r>
      <w:r>
        <w:br/>
      </w:r>
      <w:r>
        <w:rPr>
          <w:rStyle w:val="NormalTok"/>
        </w:rPr>
        <w:t xml:space="preserve">mo.md(</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(_dates)</w:t>
      </w:r>
      <w:r>
        <w:rPr>
          <w:rStyle w:val="SpecialCharTok"/>
        </w:rPr>
        <w:t xml:space="preserve">}</w:t>
      </w:r>
      <w:r>
        <w:rPr>
          <w:rStyle w:val="SpecialStringTok"/>
        </w:rPr>
        <w:t xml:space="preserve"> Sentinel-2 dates with &lt; 50 % scene cloud in the last 12 months; checked </w:t>
      </w:r>
      <w:r>
        <w:rPr>
          <w:rStyle w:val="SpecialCharTok"/>
        </w:rPr>
        <w:t xml:space="preserve">{</w:t>
      </w:r>
      <w:r>
        <w:rPr>
          <w:rStyle w:val="NormalTok"/>
        </w:rPr>
        <w:t xml:space="preserve">_checked</w:t>
      </w:r>
      <w:r>
        <w:rPr>
          <w:rStyle w:val="SpecialCharTok"/>
        </w:rPr>
        <w:t xml:space="preserve">}</w:t>
      </w:r>
      <w:r>
        <w:rPr>
          <w:rStyle w:val="SpecialStringTok"/>
        </w:rPr>
        <w:t xml:space="preserve"> over the AOI. "</w:t>
      </w:r>
      <w:r>
        <w:br/>
      </w:r>
      <w:r>
        <w:rPr>
          <w:rStyle w:val="NormalTok"/>
        </w:rPr>
        <w:t xml:space="preserve">    </w:t>
      </w:r>
      <w:r>
        <w:rPr>
          <w:rStyle w:val="SpecialStringTok"/>
        </w:rPr>
        <w:t xml:space="preserve">f"Using **</w:t>
      </w:r>
      <w:r>
        <w:rPr>
          <w:rStyle w:val="SpecialCharTok"/>
        </w:rPr>
        <w:t xml:space="preserve">{</w:t>
      </w:r>
      <w:r>
        <w:rPr>
          <w:rStyle w:val="NormalTok"/>
        </w:rPr>
        <w:t xml:space="preserve">best_date</w:t>
      </w:r>
      <w:r>
        <w:rPr>
          <w:rStyle w:val="SpecialCharTok"/>
        </w:rPr>
        <w:t xml:space="preserve">.</w:t>
      </w:r>
      <w:r>
        <w:rPr>
          <w:rStyle w:val="NormalTok"/>
        </w:rPr>
        <w:t xml:space="preserve">date()</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join(i[</w:t>
      </w:r>
      <w:r>
        <w:rPr>
          <w:rStyle w:val="StringTok"/>
        </w:rPr>
        <w:t xml:space="preserve">'id'</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best_items)</w:t>
      </w:r>
      <w:r>
        <w:rPr>
          <w:rStyle w:val="SpecialCharTok"/>
        </w:rPr>
        <w:t xml:space="preserve">}</w:t>
      </w:r>
      <w:r>
        <w:rPr>
          <w:rStyle w:val="SpecialStringTok"/>
        </w:rPr>
        <w:t xml:space="preserve">)."</w:t>
      </w:r>
      <w:r>
        <w:br/>
      </w:r>
      <w:r>
        <w:rPr>
          <w:rStyle w:val="NormalTok"/>
        </w:rPr>
        <w:t xml:space="preserve">)</w:t>
      </w:r>
    </w:p>
    <w:p>
      <w:pPr>
        <w:pStyle w:val="FirstParagraph"/>
      </w:pPr>
      <w:r>
        <w:rPr>
          <w:bCs/>
          <w:b/>
        </w:rPr>
        <w:t xml:space="preserve">A4. GHSL tile download from the JRC open-data server</w:t>
      </w:r>
    </w:p>
    <w:p>
      <w:pPr>
        <w:pStyle w:val="SourceCode"/>
      </w:pPr>
      <w:r>
        <w:rPr>
          <w:rStyle w:val="NormalTok"/>
        </w:rPr>
        <w:t xml:space="preserve">JRC </w:t>
      </w:r>
      <w:r>
        <w:rPr>
          <w:rStyle w:val="OperatorTok"/>
        </w:rPr>
        <w:t xml:space="preserve">=</w:t>
      </w:r>
      <w:r>
        <w:rPr>
          <w:rStyle w:val="NormalTok"/>
        </w:rPr>
        <w:t xml:space="preserve"> </w:t>
      </w:r>
      <w:r>
        <w:rPr>
          <w:rStyle w:val="StringTok"/>
        </w:rPr>
        <w:t xml:space="preserve">"https://jeodpp.jrc.ec.europa.eu/ftp/jrc-opendata/GHSL"</w:t>
      </w:r>
      <w:r>
        <w:br/>
      </w:r>
      <w:r>
        <w:rPr>
          <w:rStyle w:val="NormalTok"/>
        </w:rPr>
        <w:t xml:space="preserve">_x, _y </w:t>
      </w:r>
      <w:r>
        <w:rPr>
          <w:rStyle w:val="OperatorTok"/>
        </w:rPr>
        <w:t xml:space="preserve">=</w:t>
      </w:r>
      <w:r>
        <w:rPr>
          <w:rStyle w:val="NormalTok"/>
        </w:rPr>
        <w:t xml:space="preserve"> Transformer.from_crs(</w:t>
      </w:r>
      <w:r>
        <w:rPr>
          <w:rStyle w:val="DecValTok"/>
        </w:rPr>
        <w:t xml:space="preserve">4326</w:t>
      </w:r>
      <w:r>
        <w:rPr>
          <w:rStyle w:val="NormalTok"/>
        </w:rPr>
        <w:t xml:space="preserve">, MOLL, always_xy</w:t>
      </w:r>
      <w:r>
        <w:rPr>
          <w:rStyle w:val="OperatorTok"/>
        </w:rPr>
        <w:t xml:space="preserve">=</w:t>
      </w:r>
      <w:r>
        <w:rPr>
          <w:rStyle w:val="VariableTok"/>
        </w:rPr>
        <w:t xml:space="preserve">True</w:t>
      </w:r>
      <w:r>
        <w:rPr>
          <w:rStyle w:val="NormalTok"/>
        </w:rPr>
        <w:t xml:space="preserve">).transform(</w:t>
      </w:r>
      <w:r>
        <w:br/>
      </w:r>
      <w:r>
        <w:rPr>
          <w:rStyle w:val="NormalTok"/>
        </w:rPr>
        <w:t xml:space="preserve">    (AOI_BBOX[</w:t>
      </w:r>
      <w:r>
        <w:rPr>
          <w:rStyle w:val="DecValTok"/>
        </w:rPr>
        <w:t xml:space="preserve">0</w:t>
      </w:r>
      <w:r>
        <w:rPr>
          <w:rStyle w:val="NormalTok"/>
        </w:rPr>
        <w:t xml:space="preserve">] </w:t>
      </w:r>
      <w:r>
        <w:rPr>
          <w:rStyle w:val="OperatorTok"/>
        </w:rPr>
        <w:t xml:space="preserve">+</w:t>
      </w:r>
      <w:r>
        <w:rPr>
          <w:rStyle w:val="NormalTok"/>
        </w:rPr>
        <w:t xml:space="preserve"> AOI_BBOX[</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(AOI_BBOX[</w:t>
      </w:r>
      <w:r>
        <w:rPr>
          <w:rStyle w:val="DecValTok"/>
        </w:rPr>
        <w:t xml:space="preserve">1</w:t>
      </w:r>
      <w:r>
        <w:rPr>
          <w:rStyle w:val="NormalTok"/>
        </w:rPr>
        <w:t xml:space="preserve">] </w:t>
      </w:r>
      <w:r>
        <w:rPr>
          <w:rStyle w:val="OperatorTok"/>
        </w:rPr>
        <w:t xml:space="preserve">+</w:t>
      </w:r>
      <w:r>
        <w:rPr>
          <w:rStyle w:val="NormalTok"/>
        </w:rPr>
        <w:t xml:space="preserve"> AOI_BBOX[</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CommentTok"/>
        </w:rPr>
        <w:t xml:space="preserve"># GHSL 100 m tiles are 1000 km x 1000 km, counted from x = -18 041 000 m, y = 9 000 000 m</w:t>
      </w:r>
      <w:r>
        <w:br/>
      </w:r>
      <w:r>
        <w:rPr>
          <w:rStyle w:val="NormalTok"/>
        </w:rPr>
        <w:t xml:space="preserve">TILE_ROW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9_000_000</w:t>
      </w:r>
      <w:r>
        <w:rPr>
          <w:rStyle w:val="NormalTok"/>
        </w:rPr>
        <w:t xml:space="preserve"> </w:t>
      </w:r>
      <w:r>
        <w:rPr>
          <w:rStyle w:val="OperatorTok"/>
        </w:rPr>
        <w:t xml:space="preserve">-</w:t>
      </w:r>
      <w:r>
        <w:rPr>
          <w:rStyle w:val="NormalTok"/>
        </w:rPr>
        <w:t xml:space="preserve"> _y)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TILE_COL </w:t>
      </w:r>
      <w:r>
        <w:rPr>
          <w:rStyle w:val="OperatorTok"/>
        </w:rPr>
        <w:t xml:space="preserve">=</w:t>
      </w:r>
      <w:r>
        <w:rPr>
          <w:rStyle w:val="NormalTok"/>
        </w:rPr>
        <w:t xml:space="preserve"> </w:t>
      </w:r>
      <w:r>
        <w:rPr>
          <w:rStyle w:val="BuiltInTok"/>
        </w:rPr>
        <w:t xml:space="preserve">int</w:t>
      </w:r>
      <w:r>
        <w:rPr>
          <w:rStyle w:val="NormalTok"/>
        </w:rPr>
        <w:t xml:space="preserve">((_x </w:t>
      </w:r>
      <w:r>
        <w:rPr>
          <w:rStyle w:val="OperatorTok"/>
        </w:rPr>
        <w:t xml:space="preserve">+</w:t>
      </w:r>
      <w:r>
        <w:rPr>
          <w:rStyle w:val="NormalTok"/>
        </w:rPr>
        <w:t xml:space="preserve"> </w:t>
      </w:r>
      <w:r>
        <w:rPr>
          <w:rStyle w:val="DecValTok"/>
        </w:rPr>
        <w:t xml:space="preserve">18_041_000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ghsl_path(product, epoch):</w:t>
      </w:r>
      <w:r>
        <w:br/>
      </w:r>
      <w:r>
        <w:rPr>
          <w:rStyle w:val="NormalTok"/>
        </w:rPr>
        <w:t xml:space="preserve">    </w:t>
      </w:r>
      <w:r>
        <w:rPr>
          <w:rStyle w:val="CommentTok"/>
        </w:rPr>
        <w:t xml:space="preserve">"""Download (once) the GHSL tile of `product` and `epoch` and return a path rasterio can open."""</w:t>
      </w:r>
      <w:r>
        <w:br/>
      </w:r>
      <w:r>
        <w:rPr>
          <w:rStyle w:val="NormalTok"/>
        </w:rPr>
        <w:t xml:space="preserve">    name </w:t>
      </w:r>
      <w:r>
        <w:rPr>
          <w:rStyle w:val="OperatorTok"/>
        </w:rPr>
        <w:t xml:space="preserve">=</w:t>
      </w:r>
      <w:r>
        <w:rPr>
          <w:rStyle w:val="NormalTok"/>
        </w:rPr>
        <w:t xml:space="preserve"> </w:t>
      </w:r>
      <w:r>
        <w:rPr>
          <w:rStyle w:val="SpecialStringTok"/>
        </w:rPr>
        <w:t xml:space="preserve">f"GHS_</w:t>
      </w:r>
      <w:r>
        <w:rPr>
          <w:rStyle w:val="SpecialCharTok"/>
        </w:rPr>
        <w:t xml:space="preserve">{</w:t>
      </w:r>
      <w:r>
        <w:rPr>
          <w:rStyle w:val="NormalTok"/>
        </w:rPr>
        <w:t xml:space="preserve">product</w:t>
      </w:r>
      <w:r>
        <w:rPr>
          <w:rStyle w:val="SpecialCharTok"/>
        </w:rPr>
        <w:t xml:space="preserve">}</w:t>
      </w:r>
      <w:r>
        <w:rPr>
          <w:rStyle w:val="SpecialStringTok"/>
        </w:rPr>
        <w:t xml:space="preserve">_E</w:t>
      </w:r>
      <w:r>
        <w:rPr>
          <w:rStyle w:val="SpecialCharTok"/>
        </w:rPr>
        <w:t xml:space="preserve">{</w:t>
      </w:r>
      <w:r>
        <w:rPr>
          <w:rStyle w:val="NormalTok"/>
        </w:rPr>
        <w:t xml:space="preserve">epoch</w:t>
      </w:r>
      <w:r>
        <w:rPr>
          <w:rStyle w:val="SpecialCharTok"/>
        </w:rPr>
        <w:t xml:space="preserve">}</w:t>
      </w:r>
      <w:r>
        <w:rPr>
          <w:rStyle w:val="SpecialStringTok"/>
        </w:rPr>
        <w:t xml:space="preserve">_GLOBE_R2023A_54009_100_V1_0_R</w:t>
      </w:r>
      <w:r>
        <w:rPr>
          <w:rStyle w:val="SpecialCharTok"/>
        </w:rPr>
        <w:t xml:space="preserve">{</w:t>
      </w:r>
      <w:r>
        <w:rPr>
          <w:rStyle w:val="NormalTok"/>
        </w:rPr>
        <w:t xml:space="preserve">TILE_ROW</w:t>
      </w:r>
      <w:r>
        <w:rPr>
          <w:rStyle w:val="SpecialCharTok"/>
        </w:rPr>
        <w:t xml:space="preserve">}</w:t>
      </w:r>
      <w:r>
        <w:rPr>
          <w:rStyle w:val="SpecialStringTok"/>
        </w:rPr>
        <w:t xml:space="preserve">_C</w:t>
      </w:r>
      <w:r>
        <w:rPr>
          <w:rStyle w:val="SpecialCharTok"/>
        </w:rPr>
        <w:t xml:space="preserve">{</w:t>
      </w:r>
      <w:r>
        <w:rPr>
          <w:rStyle w:val="NormalTok"/>
        </w:rPr>
        <w:t xml:space="preserve">TILE_COL</w:t>
      </w:r>
      <w:r>
        <w:rPr>
          <w:rStyle w:val="SpecialCharTok"/>
        </w:rPr>
        <w:t xml:space="preserve">}</w:t>
      </w:r>
      <w:r>
        <w:rPr>
          <w:rStyle w:val="SpecialStringTok"/>
        </w:rPr>
        <w:t xml:space="preserve">"</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JRC</w:t>
      </w:r>
      <w:r>
        <w:rPr>
          <w:rStyle w:val="SpecialCharTok"/>
        </w:rPr>
        <w:t xml:space="preserve">}</w:t>
      </w:r>
      <w:r>
        <w:rPr>
          <w:rStyle w:val="SpecialStringTok"/>
        </w:rPr>
        <w:t xml:space="preserve">/GHS_</w:t>
      </w:r>
      <w:r>
        <w:rPr>
          <w:rStyle w:val="SpecialCharTok"/>
        </w:rPr>
        <w:t xml:space="preserve">{</w:t>
      </w:r>
      <w:r>
        <w:rPr>
          <w:rStyle w:val="NormalTok"/>
        </w:rPr>
        <w:t xml:space="preserve">product</w:t>
      </w:r>
      <w:r>
        <w:rPr>
          <w:rStyle w:val="SpecialCharTok"/>
        </w:rPr>
        <w:t xml:space="preserve">}</w:t>
      </w:r>
      <w:r>
        <w:rPr>
          <w:rStyle w:val="SpecialStringTok"/>
        </w:rPr>
        <w:t xml:space="preserve">_GLOBE_R2023A/GHS_</w:t>
      </w:r>
      <w:r>
        <w:rPr>
          <w:rStyle w:val="SpecialCharTok"/>
        </w:rPr>
        <w:t xml:space="preserve">{</w:t>
      </w:r>
      <w:r>
        <w:rPr>
          <w:rStyle w:val="NormalTok"/>
        </w:rPr>
        <w:t xml:space="preserve">product</w:t>
      </w:r>
      <w:r>
        <w:rPr>
          <w:rStyle w:val="SpecialCharTok"/>
        </w:rPr>
        <w:t xml:space="preserve">}</w:t>
      </w:r>
      <w:r>
        <w:rPr>
          <w:rStyle w:val="SpecialStringTok"/>
        </w:rPr>
        <w:t xml:space="preserve">_E</w:t>
      </w:r>
      <w:r>
        <w:rPr>
          <w:rStyle w:val="SpecialCharTok"/>
        </w:rPr>
        <w:t xml:space="preserve">{</w:t>
      </w:r>
      <w:r>
        <w:rPr>
          <w:rStyle w:val="NormalTok"/>
        </w:rPr>
        <w:t xml:space="preserve">epoch</w:t>
      </w:r>
      <w:r>
        <w:rPr>
          <w:rStyle w:val="SpecialCharTok"/>
        </w:rPr>
        <w:t xml:space="preserve">}</w:t>
      </w:r>
      <w:r>
        <w:rPr>
          <w:rStyle w:val="SpecialStringTok"/>
        </w:rPr>
        <w:t xml:space="preserve">_GLOBE_R2023A_54009_100/V1-0/tiles/</w:t>
      </w:r>
      <w:r>
        <w:rPr>
          <w:rStyle w:val="SpecialCharTok"/>
        </w:rPr>
        <w:t xml:space="preserve">{</w:t>
      </w:r>
      <w:r>
        <w:rPr>
          <w:rStyle w:val="NormalTok"/>
        </w:rPr>
        <w:t xml:space="preserve">name</w:t>
      </w:r>
      <w:r>
        <w:rPr>
          <w:rStyle w:val="SpecialCharTok"/>
        </w:rPr>
        <w:t xml:space="preserve">}</w:t>
      </w:r>
      <w:r>
        <w:rPr>
          <w:rStyle w:val="SpecialStringTok"/>
        </w:rPr>
        <w:t xml:space="preserve">.zip"</w:t>
      </w:r>
      <w:r>
        <w:br/>
      </w:r>
      <w:r>
        <w:rPr>
          <w:rStyle w:val="NormalTok"/>
        </w:rPr>
        <w:t xml:space="preserve">    local </w:t>
      </w:r>
      <w:r>
        <w:rPr>
          <w:rStyle w:val="OperatorTok"/>
        </w:rPr>
        <w:t xml:space="preserve">=</w:t>
      </w:r>
      <w:r>
        <w:rPr>
          <w:rStyle w:val="NormalTok"/>
        </w:rPr>
        <w:t xml:space="preserve"> Path(CACHE)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.zip"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local.exists():</w:t>
      </w:r>
      <w:r>
        <w:br/>
      </w:r>
      <w:r>
        <w:rPr>
          <w:rStyle w:val="NormalTok"/>
        </w:rPr>
        <w:t xml:space="preserve">        local.parent.mkdir(parents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requests.get(url, stream</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900</w:t>
      </w:r>
      <w:r>
        <w:rPr>
          <w:rStyle w:val="NormalTok"/>
        </w:rPr>
        <w:t xml:space="preserve">, headers</w:t>
      </w:r>
      <w:r>
        <w:rPr>
          <w:rStyle w:val="OperatorTok"/>
        </w:rPr>
        <w:t xml:space="preserve">=</w:t>
      </w:r>
      <w:r>
        <w:rPr>
          <w:rStyle w:val="NormalTok"/>
        </w:rPr>
        <w:t xml:space="preserve">{</w:t>
      </w:r>
      <w:r>
        <w:rPr>
          <w:rStyle w:val="StringTok"/>
        </w:rPr>
        <w:t xml:space="preserve">"User-Agent"</w:t>
      </w:r>
      <w:r>
        <w:rPr>
          <w:rStyle w:val="NormalTok"/>
        </w:rPr>
        <w:t xml:space="preserve">: </w:t>
      </w:r>
      <w:r>
        <w:rPr>
          <w:rStyle w:val="StringTok"/>
        </w:rPr>
        <w:t xml:space="preserve">"piura-assignment/1.0"</w:t>
      </w:r>
      <w:r>
        <w:rPr>
          <w:rStyle w:val="NormalTok"/>
        </w:rPr>
        <w:t xml:space="preserve">}) </w:t>
      </w:r>
      <w:r>
        <w:rPr>
          <w:rStyle w:val="ImportTok"/>
        </w:rPr>
        <w:t xml:space="preserve">as</w:t>
      </w:r>
      <w:r>
        <w:rPr>
          <w:rStyle w:val="NormalTok"/>
        </w:rPr>
        <w:t xml:space="preserve"> r:</w:t>
      </w:r>
      <w:r>
        <w:br/>
      </w:r>
      <w:r>
        <w:rPr>
          <w:rStyle w:val="NormalTok"/>
        </w:rPr>
        <w:t xml:space="preserve">            r.raise_for_status()</w:t>
      </w:r>
      <w:r>
        <w:br/>
      </w:r>
      <w:r>
        <w:rPr>
          <w:rStyle w:val="NormalTok"/>
        </w:rPr>
        <w:t xml:space="preserve">            part </w:t>
      </w:r>
      <w:r>
        <w:rPr>
          <w:rStyle w:val="OperatorTok"/>
        </w:rPr>
        <w:t xml:space="preserve">=</w:t>
      </w:r>
      <w:r>
        <w:rPr>
          <w:rStyle w:val="NormalTok"/>
        </w:rPr>
        <w:t xml:space="preserve"> local.with_suffix(</w:t>
      </w:r>
      <w:r>
        <w:rPr>
          <w:rStyle w:val="StringTok"/>
        </w:rPr>
        <w:t xml:space="preserve">".part"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(part, </w:t>
      </w:r>
      <w:r>
        <w:rPr>
          <w:rStyle w:val="StringTok"/>
        </w:rPr>
        <w:t xml:space="preserve">"wb"</w:t>
      </w:r>
      <w:r>
        <w:rPr>
          <w:rStyle w:val="NormalTok"/>
        </w:rPr>
        <w:t xml:space="preserve">) </w:t>
      </w:r>
      <w:r>
        <w:rPr>
          <w:rStyle w:val="ImportTok"/>
        </w:rPr>
        <w:t xml:space="preserve">as</w:t>
      </w:r>
      <w:r>
        <w:rPr>
          <w:rStyle w:val="NormalTok"/>
        </w:rPr>
        <w:t xml:space="preserve"> fh:</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r.iter_content(</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NormalTok"/>
        </w:rPr>
        <w:t xml:space="preserve">):</w:t>
      </w:r>
      <w:r>
        <w:br/>
      </w:r>
      <w:r>
        <w:rPr>
          <w:rStyle w:val="NormalTok"/>
        </w:rPr>
        <w:t xml:space="preserve">                    fh.write(chunk)</w:t>
      </w:r>
      <w:r>
        <w:br/>
      </w:r>
      <w:r>
        <w:rPr>
          <w:rStyle w:val="NormalTok"/>
        </w:rPr>
        <w:t xml:space="preserve">            part.rename(local)</w:t>
      </w:r>
      <w:r>
        <w:br/>
      </w:r>
      <w:r>
        <w:rPr>
          <w:rStyle w:val="NormalTok"/>
        </w:rPr>
        <w:t xml:space="preserve">    </w:t>
      </w:r>
      <w:r>
        <w:rPr>
          <w:rStyle w:val="ControlFlowTok"/>
        </w:rPr>
        <w:t xml:space="preserve">with</w:t>
      </w:r>
      <w:r>
        <w:rPr>
          <w:rStyle w:val="NormalTok"/>
        </w:rPr>
        <w:t xml:space="preserve"> zipfile.ZipFile(local) </w:t>
      </w:r>
      <w:r>
        <w:rPr>
          <w:rStyle w:val="ImportTok"/>
        </w:rPr>
        <w:t xml:space="preserve">as</w:t>
      </w:r>
      <w:r>
        <w:rPr>
          <w:rStyle w:val="NormalTok"/>
        </w:rPr>
        <w:t xml:space="preserve"> z:</w:t>
      </w:r>
      <w:r>
        <w:br/>
      </w:r>
      <w:r>
        <w:rPr>
          <w:rStyle w:val="NormalTok"/>
        </w:rPr>
        <w:t xml:space="preserve">        tif </w:t>
      </w:r>
      <w:r>
        <w:rPr>
          <w:rStyle w:val="OperatorTok"/>
        </w:rPr>
        <w:t xml:space="preserve">=</w:t>
      </w:r>
      <w:r>
        <w:rPr>
          <w:rStyle w:val="NormalTok"/>
        </w:rPr>
        <w:t xml:space="preserve"> </w:t>
      </w:r>
      <w:r>
        <w:rPr>
          <w:rStyle w:val="BuiltInTok"/>
        </w:rPr>
        <w:t xml:space="preserve">next</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z.namelist() </w:t>
      </w:r>
      <w:r>
        <w:rPr>
          <w:rStyle w:val="ControlFlowTok"/>
        </w:rPr>
        <w:t xml:space="preserve">if</w:t>
      </w:r>
      <w:r>
        <w:rPr>
          <w:rStyle w:val="NormalTok"/>
        </w:rPr>
        <w:t xml:space="preserve"> n.lower().endswith(</w:t>
      </w:r>
      <w:r>
        <w:rPr>
          <w:rStyle w:val="StringTok"/>
        </w:rPr>
        <w:t xml:space="preserve">".tif"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f"/vsizip/</w:t>
      </w:r>
      <w:r>
        <w:rPr>
          <w:rStyle w:val="SpecialCharTok"/>
        </w:rPr>
        <w:t xml:space="preserve">{</w:t>
      </w:r>
      <w:r>
        <w:rPr>
          <w:rStyle w:val="NormalTok"/>
        </w:rPr>
        <w:t xml:space="preserve">local</w:t>
      </w:r>
      <w:r>
        <w:rPr>
          <w:rStyle w:val="SpecialCharTok"/>
        </w:rPr>
        <w:t xml:space="preserve">}</w:t>
      </w:r>
      <w:r>
        <w:rPr>
          <w:rStyle w:val="SpecialStringTok"/>
        </w:rPr>
        <w:t xml:space="preserve">/</w:t>
      </w:r>
      <w:r>
        <w:rPr>
          <w:rStyle w:val="SpecialCharTok"/>
        </w:rPr>
        <w:t xml:space="preserve">{</w:t>
      </w:r>
      <w:r>
        <w:rPr>
          <w:rStyle w:val="NormalTok"/>
        </w:rPr>
        <w:t xml:space="preserve">tif</w:t>
      </w:r>
      <w:r>
        <w:rPr>
          <w:rStyle w:val="SpecialCharTok"/>
        </w:rPr>
        <w:t xml:space="preserve">}</w:t>
      </w:r>
      <w:r>
        <w:rPr>
          <w:rStyle w:val="SpecialStringTok"/>
        </w:rPr>
        <w:t xml:space="preserve">"</w:t>
      </w:r>
      <w:r>
        <w:br/>
      </w:r>
      <w:r>
        <w:br/>
      </w:r>
      <w:r>
        <w:rPr>
          <w:rStyle w:val="NormalTok"/>
        </w:rPr>
        <w:t xml:space="preserve">mo.md(</w:t>
      </w:r>
      <w:r>
        <w:rPr>
          <w:rStyle w:val="SpecialStringTok"/>
        </w:rPr>
        <w:t xml:space="preserve">f"Piura lies in GHSL tile **R</w:t>
      </w:r>
      <w:r>
        <w:rPr>
          <w:rStyle w:val="SpecialCharTok"/>
        </w:rPr>
        <w:t xml:space="preserve">{</w:t>
      </w:r>
      <w:r>
        <w:rPr>
          <w:rStyle w:val="NormalTok"/>
        </w:rPr>
        <w:t xml:space="preserve">TILE_ROW</w:t>
      </w:r>
      <w:r>
        <w:rPr>
          <w:rStyle w:val="SpecialCharTok"/>
        </w:rPr>
        <w:t xml:space="preserve">}</w:t>
      </w:r>
      <w:r>
        <w:rPr>
          <w:rStyle w:val="SpecialStringTok"/>
        </w:rPr>
        <w:t xml:space="preserve">_C</w:t>
      </w:r>
      <w:r>
        <w:rPr>
          <w:rStyle w:val="SpecialCharTok"/>
        </w:rPr>
        <w:t xml:space="preserve">{</w:t>
      </w:r>
      <w:r>
        <w:rPr>
          <w:rStyle w:val="NormalTok"/>
        </w:rPr>
        <w:t xml:space="preserve">TILE_COL</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A5. GHSL sums over a polygon</w:t>
      </w:r>
    </w:p>
    <w:p>
      <w:pPr>
        <w:pStyle w:val="SourceCode"/>
      </w:pPr>
      <w:r>
        <w:rPr>
          <w:rStyle w:val="KeywordTok"/>
        </w:rPr>
        <w:t xml:space="preserve">def</w:t>
      </w:r>
      <w:r>
        <w:rPr>
          <w:rStyle w:val="NormalTok"/>
        </w:rPr>
        <w:t xml:space="preserve"> ghsl_sum(path, geom_moll):</w:t>
      </w:r>
      <w:r>
        <w:br/>
      </w:r>
      <w:r>
        <w:rPr>
          <w:rStyle w:val="NormalTok"/>
        </w:rPr>
        <w:t xml:space="preserve">    </w:t>
      </w:r>
      <w:r>
        <w:rPr>
          <w:rStyle w:val="CommentTok"/>
        </w:rPr>
        <w:t xml:space="preserve">"""Sum of a GHSL tile over a polygon (Mollweide), counting the 100 m cells whose centre is inside."""</w:t>
      </w:r>
      <w:r>
        <w:br/>
      </w:r>
      <w:r>
        <w:rPr>
          <w:rStyle w:val="NormalTok"/>
        </w:rPr>
        <w:t xml:space="preserve">    </w:t>
      </w:r>
      <w:r>
        <w:rPr>
          <w:rStyle w:val="ControlFlowTok"/>
        </w:rPr>
        <w:t xml:space="preserve">with</w:t>
      </w:r>
      <w:r>
        <w:rPr>
          <w:rStyle w:val="NormalTok"/>
        </w:rPr>
        <w:t xml:space="preserve"> rasterio.</w:t>
      </w:r>
      <w:r>
        <w:rPr>
          <w:rStyle w:val="BuiltInTok"/>
        </w:rPr>
        <w:t xml:space="preserve">open</w:t>
      </w:r>
      <w:r>
        <w:rPr>
          <w:rStyle w:val="NormalTok"/>
        </w:rPr>
        <w:t xml:space="preserve">(path) </w:t>
      </w:r>
      <w:r>
        <w:rPr>
          <w:rStyle w:val="ImportTok"/>
        </w:rPr>
        <w:t xml:space="preserve">as</w:t>
      </w:r>
      <w:r>
        <w:rPr>
          <w:rStyle w:val="NormalTok"/>
        </w:rPr>
        <w:t xml:space="preserve"> src:</w:t>
      </w:r>
      <w:r>
        <w:br/>
      </w:r>
      <w:r>
        <w:rPr>
          <w:rStyle w:val="NormalTok"/>
        </w:rPr>
        <w:t xml:space="preserve">        arr, _ </w:t>
      </w:r>
      <w:r>
        <w:rPr>
          <w:rStyle w:val="OperatorTok"/>
        </w:rPr>
        <w:t xml:space="preserve">=</w:t>
      </w:r>
      <w:r>
        <w:rPr>
          <w:rStyle w:val="NormalTok"/>
        </w:rPr>
        <w:t xml:space="preserve"> rasterio.mask.mask(src, [geom_moll], crop</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False</w:t>
      </w:r>
      <w:r>
        <w:rPr>
          <w:rStyle w:val="NormalTok"/>
        </w:rPr>
        <w:t xml:space="preserve">)</w:t>
      </w:r>
      <w:r>
        <w:br/>
      </w:r>
      <w:r>
        <w:rPr>
          <w:rStyle w:val="NormalTok"/>
        </w:rPr>
        <w:t xml:space="preserve">        arr </w:t>
      </w:r>
      <w:r>
        <w:rPr>
          <w:rStyle w:val="OperatorTok"/>
        </w:rPr>
        <w:t xml:space="preserve">=</w:t>
      </w:r>
      <w:r>
        <w:rPr>
          <w:rStyle w:val="NormalTok"/>
        </w:rPr>
        <w:t xml:space="preserve"> np.ma.masked_less(np.ma.masked_equal(arr, src.nodata) </w:t>
      </w:r>
      <w:r>
        <w:rPr>
          <w:rStyle w:val="ControlFlowTok"/>
        </w:rPr>
        <w:t xml:space="preserve">if</w:t>
      </w:r>
      <w:r>
        <w:rPr>
          <w:rStyle w:val="NormalTok"/>
        </w:rPr>
        <w:t xml:space="preserve"> src.nodata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arr,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(arr.</w:t>
      </w:r>
      <w:r>
        <w:rPr>
          <w:rStyle w:val="BuiltInTok"/>
        </w:rPr>
        <w:t xml:space="preserve">sum</w:t>
      </w:r>
      <w:r>
        <w:rPr>
          <w:rStyle w:val="NormalTok"/>
        </w:rPr>
        <w:t xml:space="preserve">())</w:t>
      </w:r>
    </w:p>
    <w:bookmarkEnd w:id="64"/>
    <w:bookmarkStart w:id="65" w:name="Xa81137e0d4fd5a19d6a2408795f23585d6b74f7"/>
    <w:p>
      <w:pPr>
        <w:pStyle w:val="Heading1"/>
      </w:pPr>
      <w:r>
        <w:t xml:space="preserve">Appendix B: Notebook Code Used for the Answers</w:t>
      </w:r>
    </w:p>
    <w:p>
      <w:pPr>
        <w:pStyle w:val="FirstParagraph"/>
      </w:pPr>
      <w:r>
        <w:rPr>
          <w:bCs/>
          <w:b/>
        </w:rPr>
        <w:t xml:space="preserve">B1. Question 1: GHS_POP sums and growth rates</w:t>
      </w:r>
    </w:p>
    <w:p>
      <w:pPr>
        <w:pStyle w:val="SourceCode"/>
      </w:pPr>
      <w:r>
        <w:rPr>
          <w:rStyle w:val="NormalTok"/>
        </w:rPr>
        <w:t xml:space="preserve">_y0, _y1 </w:t>
      </w:r>
      <w:r>
        <w:rPr>
          <w:rStyle w:val="OperatorTok"/>
        </w:rPr>
        <w:t xml:space="preserve">=</w:t>
      </w:r>
      <w:r>
        <w:rPr>
          <w:rStyle w:val="NormalTok"/>
        </w:rPr>
        <w:t xml:space="preserve"> EPOCHS</w:t>
      </w:r>
      <w:r>
        <w:br/>
      </w:r>
      <w:r>
        <w:rPr>
          <w:rStyle w:val="NormalTok"/>
        </w:rPr>
        <w:t xml:space="preserve">pop_table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StringTok"/>
        </w:rPr>
        <w:t xml:space="preserve">"AOI"</w:t>
      </w:r>
      <w:r>
        <w:rPr>
          <w:rStyle w:val="NormalTok"/>
        </w:rPr>
        <w:t xml:space="preserve">, </w:t>
      </w:r>
      <w:r>
        <w:rPr>
          <w:rStyle w:val="StringTok"/>
        </w:rPr>
        <w:t xml:space="preserve">"City box"</w:t>
      </w:r>
      <w:r>
        <w:rPr>
          <w:rStyle w:val="NormalTok"/>
        </w:rPr>
        <w:t xml:space="preserve">],</w:t>
      </w:r>
      <w:r>
        <w:br/>
      </w:r>
      <w:r>
        <w:rPr>
          <w:rStyle w:val="NormalTok"/>
        </w:rPr>
        <w:t xml:space="preserve">        </w:t>
      </w:r>
      <w:r>
        <w:rPr>
          <w:rStyle w:val="SpecialStringTok"/>
        </w:rPr>
        <w:t xml:space="preserve">f"pop_</w:t>
      </w:r>
      <w:r>
        <w:rPr>
          <w:rStyle w:val="SpecialCharTok"/>
        </w:rPr>
        <w:t xml:space="preserve">{</w:t>
      </w:r>
      <w:r>
        <w:rPr>
          <w:rStyle w:val="NormalTok"/>
        </w:rPr>
        <w:t xml:space="preserve">_y0</w:t>
      </w:r>
      <w:r>
        <w:rPr>
          <w:rStyle w:val="SpecialCharTok"/>
        </w:rPr>
        <w:t xml:space="preserve">}</w:t>
      </w:r>
      <w:r>
        <w:rPr>
          <w:rStyle w:val="SpecialStringTok"/>
        </w:rPr>
        <w:t xml:space="preserve">"</w:t>
      </w:r>
      <w:r>
        <w:rPr>
          <w:rStyle w:val="NormalTok"/>
        </w:rPr>
        <w:t xml:space="preserve">: [ghsl_sum(ghsl[</w:t>
      </w:r>
      <w:r>
        <w:rPr>
          <w:rStyle w:val="StringTok"/>
        </w:rPr>
        <w:t xml:space="preserve">"POP"</w:t>
      </w:r>
      <w:r>
        <w:rPr>
          <w:rStyle w:val="NormalTok"/>
        </w:rPr>
        <w:t xml:space="preserve">, _y0], aoi_moll), ghsl_sum(ghsl[</w:t>
      </w:r>
      <w:r>
        <w:rPr>
          <w:rStyle w:val="StringTok"/>
        </w:rPr>
        <w:t xml:space="preserve">"POP"</w:t>
      </w:r>
      <w:r>
        <w:rPr>
          <w:rStyle w:val="NormalTok"/>
        </w:rPr>
        <w:t xml:space="preserve">, _y0], city_moll)],</w:t>
      </w:r>
      <w:r>
        <w:br/>
      </w:r>
      <w:r>
        <w:rPr>
          <w:rStyle w:val="NormalTok"/>
        </w:rPr>
        <w:t xml:space="preserve">        </w:t>
      </w:r>
      <w:r>
        <w:rPr>
          <w:rStyle w:val="SpecialStringTok"/>
        </w:rPr>
        <w:t xml:space="preserve">f"pop_</w:t>
      </w:r>
      <w:r>
        <w:rPr>
          <w:rStyle w:val="SpecialCharTok"/>
        </w:rPr>
        <w:t xml:space="preserve">{</w:t>
      </w:r>
      <w:r>
        <w:rPr>
          <w:rStyle w:val="NormalTok"/>
        </w:rPr>
        <w:t xml:space="preserve">_y1</w:t>
      </w:r>
      <w:r>
        <w:rPr>
          <w:rStyle w:val="SpecialCharTok"/>
        </w:rPr>
        <w:t xml:space="preserve">}</w:t>
      </w:r>
      <w:r>
        <w:rPr>
          <w:rStyle w:val="SpecialStringTok"/>
        </w:rPr>
        <w:t xml:space="preserve">"</w:t>
      </w:r>
      <w:r>
        <w:rPr>
          <w:rStyle w:val="NormalTok"/>
        </w:rPr>
        <w:t xml:space="preserve">: [ghsl_sum(ghsl[</w:t>
      </w:r>
      <w:r>
        <w:rPr>
          <w:rStyle w:val="StringTok"/>
        </w:rPr>
        <w:t xml:space="preserve">"POP"</w:t>
      </w:r>
      <w:r>
        <w:rPr>
          <w:rStyle w:val="NormalTok"/>
        </w:rPr>
        <w:t xml:space="preserve">, _y1], aoi_moll), ghsl_sum(ghsl[</w:t>
      </w:r>
      <w:r>
        <w:rPr>
          <w:rStyle w:val="StringTok"/>
        </w:rPr>
        <w:t xml:space="preserve">"POP"</w:t>
      </w:r>
      <w:r>
        <w:rPr>
          <w:rStyle w:val="NormalTok"/>
        </w:rPr>
        <w:t xml:space="preserve">, _y1], city_moll)],</w:t>
      </w:r>
      <w:r>
        <w:br/>
      </w:r>
      <w:r>
        <w:rPr>
          <w:rStyle w:val="NormalTok"/>
        </w:rPr>
        <w:t xml:space="preserve">    }</w:t>
      </w:r>
      <w:r>
        <w:br/>
      </w:r>
      <w:r>
        <w:rPr>
          <w:rStyle w:val="NormalTok"/>
        </w:rPr>
        <w:t xml:space="preserve">)</w:t>
      </w:r>
      <w:r>
        <w:br/>
      </w:r>
      <w:r>
        <w:rPr>
          <w:rStyle w:val="NormalTok"/>
        </w:rPr>
        <w:t xml:space="preserve">pop_table[</w:t>
      </w:r>
      <w:r>
        <w:rPr>
          <w:rStyle w:val="StringTok"/>
        </w:rPr>
        <w:t xml:space="preserve">"growth_%_per_year"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round</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cagr(a, b, _y1 </w:t>
      </w:r>
      <w:r>
        <w:rPr>
          <w:rStyle w:val="OperatorTok"/>
        </w:rPr>
        <w:t xml:space="preserve">-</w:t>
      </w:r>
      <w:r>
        <w:rPr>
          <w:rStyle w:val="NormalTok"/>
        </w:rPr>
        <w:t xml:space="preserve"> _y0), </w:t>
      </w:r>
      <w:r>
        <w:rPr>
          <w:rStyle w:val="DecValTok"/>
        </w:rPr>
        <w:t xml:space="preserve">2</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(pop_table[</w:t>
      </w:r>
      <w:r>
        <w:rPr>
          <w:rStyle w:val="SpecialStringTok"/>
        </w:rPr>
        <w:t xml:space="preserve">f"pop_</w:t>
      </w:r>
      <w:r>
        <w:rPr>
          <w:rStyle w:val="SpecialCharTok"/>
        </w:rPr>
        <w:t xml:space="preserve">{</w:t>
      </w:r>
      <w:r>
        <w:rPr>
          <w:rStyle w:val="NormalTok"/>
        </w:rPr>
        <w:t xml:space="preserve">_y0</w:t>
      </w:r>
      <w:r>
        <w:rPr>
          <w:rStyle w:val="SpecialCharTok"/>
        </w:rPr>
        <w:t xml:space="preserve">}</w:t>
      </w:r>
      <w:r>
        <w:rPr>
          <w:rStyle w:val="SpecialStringTok"/>
        </w:rPr>
        <w:t xml:space="preserve">"</w:t>
      </w:r>
      <w:r>
        <w:rPr>
          <w:rStyle w:val="NormalTok"/>
        </w:rPr>
        <w:t xml:space="preserve">], pop_table[</w:t>
      </w:r>
      <w:r>
        <w:rPr>
          <w:rStyle w:val="SpecialStringTok"/>
        </w:rPr>
        <w:t xml:space="preserve">f"pop_</w:t>
      </w:r>
      <w:r>
        <w:rPr>
          <w:rStyle w:val="SpecialCharTok"/>
        </w:rPr>
        <w:t xml:space="preserve">{</w:t>
      </w:r>
      <w:r>
        <w:rPr>
          <w:rStyle w:val="NormalTok"/>
        </w:rPr>
        <w:t xml:space="preserve">_y1</w:t>
      </w:r>
      <w:r>
        <w:rPr>
          <w:rStyle w:val="SpecialCharTok"/>
        </w:rPr>
        <w:t xml:space="preserve">}</w:t>
      </w:r>
      <w:r>
        <w:rPr>
          <w:rStyle w:val="SpecialStringTok"/>
        </w:rPr>
        <w:t xml:space="preserve">"</w:t>
      </w:r>
      <w:r>
        <w:rPr>
          <w:rStyle w:val="NormalTok"/>
        </w:rPr>
        <w:t xml:space="preserve">])</w:t>
      </w:r>
      <w:r>
        <w:br/>
      </w:r>
      <w:r>
        <w:rPr>
          <w:rStyle w:val="NormalTok"/>
        </w:rPr>
        <w:t xml:space="preserve">]</w:t>
      </w:r>
      <w:r>
        <w:br/>
      </w:r>
      <w:r>
        <w:rPr>
          <w:rStyle w:val="NormalTok"/>
        </w:rPr>
        <w:t xml:space="preserve">pop_table</w:t>
      </w:r>
    </w:p>
    <w:p>
      <w:pPr>
        <w:pStyle w:val="FirstParagraph"/>
      </w:pPr>
      <w:r>
        <w:rPr>
          <w:bCs/>
          <w:b/>
        </w:rPr>
        <w:t xml:space="preserve">B2. Question 2: GHS_BUILT_S and GHS_BUILT_V sums and growth rates</w:t>
      </w:r>
    </w:p>
    <w:p>
      <w:pPr>
        <w:pStyle w:val="SourceCode"/>
      </w:pPr>
      <w:r>
        <w:rPr>
          <w:rStyle w:val="NormalTok"/>
        </w:rPr>
        <w:t xml:space="preserve">_y0, _y1 </w:t>
      </w:r>
      <w:r>
        <w:rPr>
          <w:rStyle w:val="OperatorTok"/>
        </w:rPr>
        <w:t xml:space="preserve">=</w:t>
      </w:r>
      <w:r>
        <w:rPr>
          <w:rStyle w:val="NormalTok"/>
        </w:rPr>
        <w:t xml:space="preserve"> EPOCHS</w:t>
      </w:r>
      <w:r>
        <w:br/>
      </w:r>
      <w:r>
        <w:rPr>
          <w:rStyle w:val="NormalTok"/>
        </w:rPr>
        <w:t xml:space="preserve">_n </w:t>
      </w:r>
      <w:r>
        <w:rPr>
          <w:rStyle w:val="OperatorTok"/>
        </w:rPr>
        <w:t xml:space="preserve">=</w:t>
      </w:r>
      <w:r>
        <w:rPr>
          <w:rStyle w:val="NormalTok"/>
        </w:rPr>
        <w:t xml:space="preserve"> _y1 </w:t>
      </w:r>
      <w:r>
        <w:rPr>
          <w:rStyle w:val="OperatorTok"/>
        </w:rPr>
        <w:t xml:space="preserve">-</w:t>
      </w:r>
      <w:r>
        <w:rPr>
          <w:rStyle w:val="NormalTok"/>
        </w:rPr>
        <w:t xml:space="preserve"> _y0</w:t>
      </w:r>
      <w:r>
        <w:br/>
      </w:r>
      <w:r>
        <w:rPr>
          <w:rStyle w:val="NormalTok"/>
        </w:rPr>
        <w:t xml:space="preserve">_rows </w:t>
      </w:r>
      <w:r>
        <w:rPr>
          <w:rStyle w:val="OperatorTok"/>
        </w:rPr>
        <w:t xml:space="preserve">=</w:t>
      </w:r>
      <w:r>
        <w:rPr>
          <w:rStyle w:val="NormalTok"/>
        </w:rPr>
        <w:t xml:space="preserve"> []</w:t>
      </w:r>
      <w:r>
        <w:br/>
      </w:r>
      <w:r>
        <w:rPr>
          <w:rStyle w:val="ControlFlowTok"/>
        </w:rPr>
        <w:t xml:space="preserve">for</w:t>
      </w:r>
      <w:r>
        <w:rPr>
          <w:rStyle w:val="NormalTok"/>
        </w:rPr>
        <w:t xml:space="preserve"> _area, _geom </w:t>
      </w:r>
      <w:r>
        <w:rPr>
          <w:rStyle w:val="KeywordTok"/>
        </w:rPr>
        <w:t xml:space="preserve">in</w:t>
      </w:r>
      <w:r>
        <w:rPr>
          <w:rStyle w:val="NormalTok"/>
        </w:rPr>
        <w:t xml:space="preserve"> [(</w:t>
      </w:r>
      <w:r>
        <w:rPr>
          <w:rStyle w:val="StringTok"/>
        </w:rPr>
        <w:t xml:space="preserve">"AOI"</w:t>
      </w:r>
      <w:r>
        <w:rPr>
          <w:rStyle w:val="NormalTok"/>
        </w:rPr>
        <w:t xml:space="preserve">, aoi_moll), (</w:t>
      </w:r>
      <w:r>
        <w:rPr>
          <w:rStyle w:val="StringTok"/>
        </w:rPr>
        <w:t xml:space="preserve">"City box"</w:t>
      </w:r>
      <w:r>
        <w:rPr>
          <w:rStyle w:val="NormalTok"/>
        </w:rPr>
        <w:t xml:space="preserve">, city_moll)]:</w:t>
      </w:r>
      <w:r>
        <w:br/>
      </w:r>
      <w:r>
        <w:rPr>
          <w:rStyle w:val="NormalTok"/>
        </w:rPr>
        <w:t xml:space="preserve">    _s0, _s1 </w:t>
      </w:r>
      <w:r>
        <w:rPr>
          <w:rStyle w:val="OperatorTok"/>
        </w:rPr>
        <w:t xml:space="preserve">=</w:t>
      </w:r>
      <w:r>
        <w:rPr>
          <w:rStyle w:val="NormalTok"/>
        </w:rPr>
        <w:t xml:space="preserve"> ghsl_sum(ghsl[</w:t>
      </w:r>
      <w:r>
        <w:rPr>
          <w:rStyle w:val="StringTok"/>
        </w:rPr>
        <w:t xml:space="preserve">"BUILT_S"</w:t>
      </w:r>
      <w:r>
        <w:rPr>
          <w:rStyle w:val="NormalTok"/>
        </w:rPr>
        <w:t xml:space="preserve">, _y0], _geom), ghsl_sum(ghsl[</w:t>
      </w:r>
      <w:r>
        <w:rPr>
          <w:rStyle w:val="StringTok"/>
        </w:rPr>
        <w:t xml:space="preserve">"BUILT_S"</w:t>
      </w:r>
      <w:r>
        <w:rPr>
          <w:rStyle w:val="NormalTok"/>
        </w:rPr>
        <w:t xml:space="preserve">, _y1], _geom)</w:t>
      </w:r>
      <w:r>
        <w:br/>
      </w:r>
      <w:r>
        <w:rPr>
          <w:rStyle w:val="NormalTok"/>
        </w:rPr>
        <w:t xml:space="preserve">    _v0, _v1 </w:t>
      </w:r>
      <w:r>
        <w:rPr>
          <w:rStyle w:val="OperatorTok"/>
        </w:rPr>
        <w:t xml:space="preserve">=</w:t>
      </w:r>
      <w:r>
        <w:rPr>
          <w:rStyle w:val="NormalTok"/>
        </w:rPr>
        <w:t xml:space="preserve"> ghsl_sum(ghsl[</w:t>
      </w:r>
      <w:r>
        <w:rPr>
          <w:rStyle w:val="StringTok"/>
        </w:rPr>
        <w:t xml:space="preserve">"BUILT_V"</w:t>
      </w:r>
      <w:r>
        <w:rPr>
          <w:rStyle w:val="NormalTok"/>
        </w:rPr>
        <w:t xml:space="preserve">, _y0], _geom), ghsl_sum(ghsl[</w:t>
      </w:r>
      <w:r>
        <w:rPr>
          <w:rStyle w:val="StringTok"/>
        </w:rPr>
        <w:t xml:space="preserve">"BUILT_V"</w:t>
      </w:r>
      <w:r>
        <w:rPr>
          <w:rStyle w:val="NormalTok"/>
        </w:rPr>
        <w:t xml:space="preserve">, _y1], _geom)</w:t>
      </w:r>
      <w:r>
        <w:br/>
      </w:r>
      <w:r>
        <w:rPr>
          <w:rStyle w:val="NormalTok"/>
        </w:rPr>
        <w:t xml:space="preserve">    _rows.append({</w:t>
      </w:r>
      <w:r>
        <w:br/>
      </w:r>
      <w:r>
        <w:rPr>
          <w:rStyle w:val="NormalTok"/>
        </w:rPr>
        <w:t xml:space="preserve">        </w:t>
      </w:r>
      <w:r>
        <w:rPr>
          <w:rStyle w:val="StringTok"/>
        </w:rPr>
        <w:t xml:space="preserve">"area"</w:t>
      </w:r>
      <w:r>
        <w:rPr>
          <w:rStyle w:val="NormalTok"/>
        </w:rPr>
        <w:t xml:space="preserve">: _area,</w:t>
      </w:r>
      <w:r>
        <w:br/>
      </w:r>
      <w:r>
        <w:rPr>
          <w:rStyle w:val="NormalTok"/>
        </w:rPr>
        <w:t xml:space="preserve">        </w:t>
      </w:r>
      <w:r>
        <w:rPr>
          <w:rStyle w:val="SpecialStringTok"/>
        </w:rPr>
        <w:t xml:space="preserve">f"surface_</w:t>
      </w:r>
      <w:r>
        <w:rPr>
          <w:rStyle w:val="SpecialCharTok"/>
        </w:rPr>
        <w:t xml:space="preserve">{</w:t>
      </w:r>
      <w:r>
        <w:rPr>
          <w:rStyle w:val="NormalTok"/>
        </w:rPr>
        <w:t xml:space="preserve">_y0</w:t>
      </w:r>
      <w:r>
        <w:rPr>
          <w:rStyle w:val="SpecialCharTok"/>
        </w:rPr>
        <w:t xml:space="preserve">}</w:t>
      </w:r>
      <w:r>
        <w:rPr>
          <w:rStyle w:val="SpecialStringTok"/>
        </w:rPr>
        <w:t xml:space="preserve">_m2"</w:t>
      </w:r>
      <w:r>
        <w:rPr>
          <w:rStyle w:val="NormalTok"/>
        </w:rPr>
        <w:t xml:space="preserve">: _s0, </w:t>
      </w:r>
      <w:r>
        <w:rPr>
          <w:rStyle w:val="SpecialStringTok"/>
        </w:rPr>
        <w:t xml:space="preserve">f"surface_</w:t>
      </w:r>
      <w:r>
        <w:rPr>
          <w:rStyle w:val="SpecialCharTok"/>
        </w:rPr>
        <w:t xml:space="preserve">{</w:t>
      </w:r>
      <w:r>
        <w:rPr>
          <w:rStyle w:val="NormalTok"/>
        </w:rPr>
        <w:t xml:space="preserve">_y1</w:t>
      </w:r>
      <w:r>
        <w:rPr>
          <w:rStyle w:val="SpecialCharTok"/>
        </w:rPr>
        <w:t xml:space="preserve">}</w:t>
      </w:r>
      <w:r>
        <w:rPr>
          <w:rStyle w:val="SpecialStringTok"/>
        </w:rPr>
        <w:t xml:space="preserve">_m2"</w:t>
      </w:r>
      <w:r>
        <w:rPr>
          <w:rStyle w:val="NormalTok"/>
        </w:rPr>
        <w:t xml:space="preserve">: _s1, </w:t>
      </w:r>
      <w:r>
        <w:rPr>
          <w:rStyle w:val="StringTok"/>
        </w:rPr>
        <w:t xml:space="preserve">"surface_growth_%_per_year"</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cagr(_s0, _s1, _n),</w:t>
      </w:r>
      <w:r>
        <w:br/>
      </w:r>
      <w:r>
        <w:rPr>
          <w:rStyle w:val="NormalTok"/>
        </w:rPr>
        <w:t xml:space="preserve">        </w:t>
      </w:r>
      <w:r>
        <w:rPr>
          <w:rStyle w:val="SpecialStringTok"/>
        </w:rPr>
        <w:t xml:space="preserve">f"volume_</w:t>
      </w:r>
      <w:r>
        <w:rPr>
          <w:rStyle w:val="SpecialCharTok"/>
        </w:rPr>
        <w:t xml:space="preserve">{</w:t>
      </w:r>
      <w:r>
        <w:rPr>
          <w:rStyle w:val="NormalTok"/>
        </w:rPr>
        <w:t xml:space="preserve">_y0</w:t>
      </w:r>
      <w:r>
        <w:rPr>
          <w:rStyle w:val="SpecialCharTok"/>
        </w:rPr>
        <w:t xml:space="preserve">}</w:t>
      </w:r>
      <w:r>
        <w:rPr>
          <w:rStyle w:val="SpecialStringTok"/>
        </w:rPr>
        <w:t xml:space="preserve">_m3"</w:t>
      </w:r>
      <w:r>
        <w:rPr>
          <w:rStyle w:val="NormalTok"/>
        </w:rPr>
        <w:t xml:space="preserve">: _v0, </w:t>
      </w:r>
      <w:r>
        <w:rPr>
          <w:rStyle w:val="SpecialStringTok"/>
        </w:rPr>
        <w:t xml:space="preserve">f"volume_</w:t>
      </w:r>
      <w:r>
        <w:rPr>
          <w:rStyle w:val="SpecialCharTok"/>
        </w:rPr>
        <w:t xml:space="preserve">{</w:t>
      </w:r>
      <w:r>
        <w:rPr>
          <w:rStyle w:val="NormalTok"/>
        </w:rPr>
        <w:t xml:space="preserve">_y1</w:t>
      </w:r>
      <w:r>
        <w:rPr>
          <w:rStyle w:val="SpecialCharTok"/>
        </w:rPr>
        <w:t xml:space="preserve">}</w:t>
      </w:r>
      <w:r>
        <w:rPr>
          <w:rStyle w:val="SpecialStringTok"/>
        </w:rPr>
        <w:t xml:space="preserve">_m3"</w:t>
      </w:r>
      <w:r>
        <w:rPr>
          <w:rStyle w:val="NormalTok"/>
        </w:rPr>
        <w:t xml:space="preserve">: _v1, </w:t>
      </w:r>
      <w:r>
        <w:rPr>
          <w:rStyle w:val="StringTok"/>
        </w:rPr>
        <w:t xml:space="preserve">"volume_growth_%_per_year"</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cagr(_v0, _v1, _n),</w:t>
      </w:r>
      <w:r>
        <w:br/>
      </w:r>
      <w:r>
        <w:rPr>
          <w:rStyle w:val="NormalTok"/>
        </w:rPr>
        <w:t xml:space="preserve">        </w:t>
      </w:r>
      <w:r>
        <w:rPr>
          <w:rStyle w:val="SpecialStringTok"/>
        </w:rPr>
        <w:t xml:space="preserve">f"mean_height_</w:t>
      </w:r>
      <w:r>
        <w:rPr>
          <w:rStyle w:val="SpecialCharTok"/>
        </w:rPr>
        <w:t xml:space="preserve">{</w:t>
      </w:r>
      <w:r>
        <w:rPr>
          <w:rStyle w:val="NormalTok"/>
        </w:rPr>
        <w:t xml:space="preserve">_y0</w:t>
      </w:r>
      <w:r>
        <w:rPr>
          <w:rStyle w:val="SpecialCharTok"/>
        </w:rPr>
        <w:t xml:space="preserve">}</w:t>
      </w:r>
      <w:r>
        <w:rPr>
          <w:rStyle w:val="SpecialStringTok"/>
        </w:rPr>
        <w:t xml:space="preserve">_m"</w:t>
      </w:r>
      <w:r>
        <w:rPr>
          <w:rStyle w:val="NormalTok"/>
        </w:rPr>
        <w:t xml:space="preserve">: _v0 </w:t>
      </w:r>
      <w:r>
        <w:rPr>
          <w:rStyle w:val="OperatorTok"/>
        </w:rPr>
        <w:t xml:space="preserve">/</w:t>
      </w:r>
      <w:r>
        <w:rPr>
          <w:rStyle w:val="NormalTok"/>
        </w:rPr>
        <w:t xml:space="preserve"> _s0, </w:t>
      </w:r>
      <w:r>
        <w:rPr>
          <w:rStyle w:val="SpecialStringTok"/>
        </w:rPr>
        <w:t xml:space="preserve">f"mean_height_</w:t>
      </w:r>
      <w:r>
        <w:rPr>
          <w:rStyle w:val="SpecialCharTok"/>
        </w:rPr>
        <w:t xml:space="preserve">{</w:t>
      </w:r>
      <w:r>
        <w:rPr>
          <w:rStyle w:val="NormalTok"/>
        </w:rPr>
        <w:t xml:space="preserve">_y1</w:t>
      </w:r>
      <w:r>
        <w:rPr>
          <w:rStyle w:val="SpecialCharTok"/>
        </w:rPr>
        <w:t xml:space="preserve">}</w:t>
      </w:r>
      <w:r>
        <w:rPr>
          <w:rStyle w:val="SpecialStringTok"/>
        </w:rPr>
        <w:t xml:space="preserve">_m"</w:t>
      </w:r>
      <w:r>
        <w:rPr>
          <w:rStyle w:val="NormalTok"/>
        </w:rPr>
        <w:t xml:space="preserve">: _v1 </w:t>
      </w:r>
      <w:r>
        <w:rPr>
          <w:rStyle w:val="OperatorTok"/>
        </w:rPr>
        <w:t xml:space="preserve">/</w:t>
      </w:r>
      <w:r>
        <w:rPr>
          <w:rStyle w:val="NormalTok"/>
        </w:rPr>
        <w:t xml:space="preserve"> _s1,</w:t>
      </w:r>
      <w:r>
        <w:br/>
      </w:r>
      <w:r>
        <w:rPr>
          <w:rStyle w:val="NormalTok"/>
        </w:rPr>
        <w:t xml:space="preserve">    })</w:t>
      </w:r>
      <w:r>
        <w:br/>
      </w:r>
      <w:r>
        <w:rPr>
          <w:rStyle w:val="NormalTok"/>
        </w:rPr>
        <w:t xml:space="preserve">built_table </w:t>
      </w:r>
      <w:r>
        <w:rPr>
          <w:rStyle w:val="OperatorTok"/>
        </w:rPr>
        <w:t xml:space="preserve">=</w:t>
      </w:r>
      <w:r>
        <w:rPr>
          <w:rStyle w:val="NormalTok"/>
        </w:rPr>
        <w:t xml:space="preserve"> pd.DataFrame(_rows)</w:t>
      </w:r>
      <w:r>
        <w:br/>
      </w:r>
      <w:r>
        <w:rPr>
          <w:rStyle w:val="NormalTok"/>
        </w:rPr>
        <w:t xml:space="preserve">fp_cagr </w:t>
      </w:r>
      <w:r>
        <w:rPr>
          <w:rStyle w:val="OperatorTok"/>
        </w:rPr>
        <w:t xml:space="preserve">=</w:t>
      </w:r>
      <w:r>
        <w:rPr>
          <w:rStyle w:val="NormalTok"/>
        </w:rPr>
        <w:t xml:space="preserve"> built_table.loc[</w:t>
      </w:r>
      <w:r>
        <w:rPr>
          <w:rStyle w:val="DecValTok"/>
        </w:rPr>
        <w:t xml:space="preserve">0</w:t>
      </w:r>
      <w:r>
        <w:rPr>
          <w:rStyle w:val="NormalTok"/>
        </w:rPr>
        <w:t xml:space="preserve">, </w:t>
      </w:r>
      <w:r>
        <w:rPr>
          <w:rStyle w:val="StringTok"/>
        </w:rPr>
        <w:t xml:space="preserve">"surface_growth_%_per_year"</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vol_cagr </w:t>
      </w:r>
      <w:r>
        <w:rPr>
          <w:rStyle w:val="OperatorTok"/>
        </w:rPr>
        <w:t xml:space="preserve">=</w:t>
      </w:r>
      <w:r>
        <w:rPr>
          <w:rStyle w:val="NormalTok"/>
        </w:rPr>
        <w:t xml:space="preserve"> built_table.loc[</w:t>
      </w:r>
      <w:r>
        <w:rPr>
          <w:rStyle w:val="DecValTok"/>
        </w:rPr>
        <w:t xml:space="preserve">0</w:t>
      </w:r>
      <w:r>
        <w:rPr>
          <w:rStyle w:val="NormalTok"/>
        </w:rPr>
        <w:t xml:space="preserve">, </w:t>
      </w:r>
      <w:r>
        <w:rPr>
          <w:rStyle w:val="StringTok"/>
        </w:rPr>
        <w:t xml:space="preserve">"volume_growth_%_per_year"</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BuiltInTok"/>
        </w:rPr>
        <w:t xml:space="preserve">print</w:t>
      </w:r>
      <w:r>
        <w:rPr>
          <w:rStyle w:val="NormalTok"/>
        </w:rPr>
        <w:t xml:space="preserve">(</w:t>
      </w:r>
      <w:r>
        <w:rPr>
          <w:rStyle w:val="SpecialStringTok"/>
        </w:rPr>
        <w:t xml:space="preserve">f"Annual growth of building footprint extent (GHS_BUILT_S, AOI) </w:t>
      </w:r>
      <w:r>
        <w:rPr>
          <w:rStyle w:val="SpecialCharTok"/>
        </w:rPr>
        <w:t xml:space="preserve">{</w:t>
      </w:r>
      <w:r>
        <w:rPr>
          <w:rStyle w:val="NormalTok"/>
        </w:rPr>
        <w:t xml:space="preserve">_y0</w:t>
      </w:r>
      <w:r>
        <w:rPr>
          <w:rStyle w:val="SpecialCharTok"/>
        </w:rPr>
        <w:t xml:space="preserve">}</w:t>
      </w:r>
      <w:r>
        <w:rPr>
          <w:rStyle w:val="SpecialStringTok"/>
        </w:rPr>
        <w:t xml:space="preserve">-</w:t>
      </w:r>
      <w:r>
        <w:rPr>
          <w:rStyle w:val="SpecialCharTok"/>
        </w:rPr>
        <w:t xml:space="preserve">{</w:t>
      </w:r>
      <w:r>
        <w:rPr>
          <w:rStyle w:val="NormalTok"/>
        </w:rPr>
        <w:t xml:space="preserve">_y1</w:t>
      </w:r>
      <w:r>
        <w:rPr>
          <w:rStyle w:val="SpecialCharTok"/>
        </w:rPr>
        <w:t xml:space="preserve">}</w:t>
      </w:r>
      <w:r>
        <w:rPr>
          <w:rStyle w:val="SpecialStringTok"/>
        </w:rPr>
        <w:t xml:space="preserve">: </w:t>
      </w:r>
      <w:r>
        <w:rPr>
          <w:rStyle w:val="SpecialCharTok"/>
        </w:rPr>
        <w:t xml:space="preserve">{</w:t>
      </w:r>
      <w:r>
        <w:rPr>
          <w:rStyle w:val="DecValTok"/>
        </w:rPr>
        <w:t xml:space="preserve">100</w:t>
      </w:r>
      <w:r>
        <w:rPr>
          <w:rStyle w:val="NormalTok"/>
        </w:rPr>
        <w:t xml:space="preserve"> </w:t>
      </w:r>
      <w:r>
        <w:rPr>
          <w:rStyle w:val="OperatorTok"/>
        </w:rPr>
        <w:t xml:space="preserve">*</w:t>
      </w:r>
      <w:r>
        <w:rPr>
          <w:rStyle w:val="NormalTok"/>
        </w:rPr>
        <w:t xml:space="preserve"> fp_cagr</w:t>
      </w:r>
      <w:r>
        <w:rPr>
          <w:rStyle w:val="SpecialCharTok"/>
        </w:rPr>
        <w:t xml:space="preserve">:.2f}</w:t>
      </w:r>
      <w:r>
        <w:rPr>
          <w:rStyle w:val="SpecialStringTok"/>
        </w:rPr>
        <w:t xml:space="preserve"> % per year"</w:t>
      </w:r>
      <w:r>
        <w:rPr>
          <w:rStyle w:val="NormalTok"/>
        </w:rPr>
        <w:t xml:space="preserve">)</w:t>
      </w:r>
      <w:r>
        <w:br/>
      </w:r>
      <w:r>
        <w:rPr>
          <w:rStyle w:val="BuiltInTok"/>
        </w:rPr>
        <w:t xml:space="preserve">print</w:t>
      </w:r>
      <w:r>
        <w:rPr>
          <w:rStyle w:val="NormalTok"/>
        </w:rPr>
        <w:t xml:space="preserve">(</w:t>
      </w:r>
      <w:r>
        <w:rPr>
          <w:rStyle w:val="SpecialStringTok"/>
        </w:rPr>
        <w:t xml:space="preserve">f"Annual growth of building volume           (GHS_BUILT_V, AOI) </w:t>
      </w:r>
      <w:r>
        <w:rPr>
          <w:rStyle w:val="SpecialCharTok"/>
        </w:rPr>
        <w:t xml:space="preserve">{</w:t>
      </w:r>
      <w:r>
        <w:rPr>
          <w:rStyle w:val="NormalTok"/>
        </w:rPr>
        <w:t xml:space="preserve">_y0</w:t>
      </w:r>
      <w:r>
        <w:rPr>
          <w:rStyle w:val="SpecialCharTok"/>
        </w:rPr>
        <w:t xml:space="preserve">}</w:t>
      </w:r>
      <w:r>
        <w:rPr>
          <w:rStyle w:val="SpecialStringTok"/>
        </w:rPr>
        <w:t xml:space="preserve">-</w:t>
      </w:r>
      <w:r>
        <w:rPr>
          <w:rStyle w:val="SpecialCharTok"/>
        </w:rPr>
        <w:t xml:space="preserve">{</w:t>
      </w:r>
      <w:r>
        <w:rPr>
          <w:rStyle w:val="NormalTok"/>
        </w:rPr>
        <w:t xml:space="preserve">_y1</w:t>
      </w:r>
      <w:r>
        <w:rPr>
          <w:rStyle w:val="SpecialCharTok"/>
        </w:rPr>
        <w:t xml:space="preserve">}</w:t>
      </w:r>
      <w:r>
        <w:rPr>
          <w:rStyle w:val="SpecialStringTok"/>
        </w:rPr>
        <w:t xml:space="preserve">: </w:t>
      </w:r>
      <w:r>
        <w:rPr>
          <w:rStyle w:val="SpecialCharTok"/>
        </w:rPr>
        <w:t xml:space="preserve">{</w:t>
      </w:r>
      <w:r>
        <w:rPr>
          <w:rStyle w:val="DecValTok"/>
        </w:rPr>
        <w:t xml:space="preserve">100</w:t>
      </w:r>
      <w:r>
        <w:rPr>
          <w:rStyle w:val="NormalTok"/>
        </w:rPr>
        <w:t xml:space="preserve"> </w:t>
      </w:r>
      <w:r>
        <w:rPr>
          <w:rStyle w:val="OperatorTok"/>
        </w:rPr>
        <w:t xml:space="preserve">*</w:t>
      </w:r>
      <w:r>
        <w:rPr>
          <w:rStyle w:val="NormalTok"/>
        </w:rPr>
        <w:t xml:space="preserve"> vol_cagr</w:t>
      </w:r>
      <w:r>
        <w:rPr>
          <w:rStyle w:val="SpecialCharTok"/>
        </w:rPr>
        <w:t xml:space="preserve">:.2f}</w:t>
      </w:r>
      <w:r>
        <w:rPr>
          <w:rStyle w:val="SpecialStringTok"/>
        </w:rPr>
        <w:t xml:space="preserve"> % per year"</w:t>
      </w:r>
      <w:r>
        <w:rPr>
          <w:rStyle w:val="NormalTok"/>
        </w:rPr>
        <w:t xml:space="preserve">)</w:t>
      </w:r>
      <w:r>
        <w:br/>
      </w:r>
      <w:r>
        <w:rPr>
          <w:rStyle w:val="NormalTok"/>
        </w:rPr>
        <w:t xml:space="preserve">built_table.</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rPr>
          <w:bCs/>
          <w:b/>
        </w:rPr>
        <w:t xml:space="preserve">B3. Question 2 and 3: Esri built-up change with pygeovision</w:t>
      </w:r>
    </w:p>
    <w:p>
      <w:pPr>
        <w:pStyle w:val="SourceCode"/>
      </w:pPr>
      <w:r>
        <w:rPr>
          <w:rStyle w:val="NormalTok"/>
        </w:rPr>
        <w:t xml:space="preserve">ue_result </w:t>
      </w:r>
      <w:r>
        <w:rPr>
          <w:rStyle w:val="OperatorTok"/>
        </w:rPr>
        <w:t xml:space="preserve">=</w:t>
      </w:r>
      <w:r>
        <w:rPr>
          <w:rStyle w:val="NormalTok"/>
        </w:rPr>
        <w:t xml:space="preserve"> pgv.pipeline(</w:t>
      </w:r>
      <w:r>
        <w:br/>
      </w:r>
      <w:r>
        <w:rPr>
          <w:rStyle w:val="NormalTok"/>
        </w:rPr>
        <w:t xml:space="preserve">    </w:t>
      </w:r>
      <w:r>
        <w:rPr>
          <w:rStyle w:val="StringTok"/>
        </w:rPr>
        <w:t xml:space="preserve">"urban_expansion"</w:t>
      </w:r>
      <w:r>
        <w:rPr>
          <w:rStyle w:val="NormalTok"/>
        </w:rPr>
        <w:t xml:space="preserve">,</w:t>
      </w:r>
      <w:r>
        <w:br/>
      </w:r>
      <w:r>
        <w:rPr>
          <w:rStyle w:val="NormalTok"/>
        </w:rPr>
        <w:t xml:space="preserve">    bbox</w:t>
      </w:r>
      <w:r>
        <w:rPr>
          <w:rStyle w:val="OperatorTok"/>
        </w:rPr>
        <w:t xml:space="preserve">=</w:t>
      </w:r>
      <w:r>
        <w:rPr>
          <w:rStyle w:val="NormalTok"/>
        </w:rPr>
        <w:t xml:space="preserve">AOI_BBOX,</w:t>
      </w:r>
      <w:r>
        <w:br/>
      </w:r>
      <w:r>
        <w:rPr>
          <w:rStyle w:val="NormalTok"/>
        </w:rPr>
        <w:t xml:space="preserve">    date_before</w:t>
      </w:r>
      <w:r>
        <w:rPr>
          <w:rStyle w:val="OperatorTok"/>
        </w:rPr>
        <w:t xml:space="preserve">=</w:t>
      </w:r>
      <w:r>
        <w:rPr>
          <w:rStyle w:val="BuiltInTok"/>
        </w:rPr>
        <w:t xml:space="preserve">str</w:t>
      </w:r>
      <w:r>
        <w:rPr>
          <w:rStyle w:val="NormalTok"/>
        </w:rPr>
        <w:t xml:space="preserve">(ESRI_YEARS[</w:t>
      </w:r>
      <w:r>
        <w:rPr>
          <w:rStyle w:val="DecValTok"/>
        </w:rPr>
        <w:t xml:space="preserve">0</w:t>
      </w:r>
      <w:r>
        <w:rPr>
          <w:rStyle w:val="NormalTok"/>
        </w:rPr>
        <w:t xml:space="preserve">]),</w:t>
      </w:r>
      <w:r>
        <w:br/>
      </w:r>
      <w:r>
        <w:rPr>
          <w:rStyle w:val="NormalTok"/>
        </w:rPr>
        <w:t xml:space="preserve">    date_after</w:t>
      </w:r>
      <w:r>
        <w:rPr>
          <w:rStyle w:val="OperatorTok"/>
        </w:rPr>
        <w:t xml:space="preserve">=</w:t>
      </w:r>
      <w:r>
        <w:rPr>
          <w:rStyle w:val="BuiltInTok"/>
        </w:rPr>
        <w:t xml:space="preserve">str</w:t>
      </w:r>
      <w:r>
        <w:rPr>
          <w:rStyle w:val="NormalTok"/>
        </w:rPr>
        <w:t xml:space="preserve">(ESRI_YEARS[</w:t>
      </w:r>
      <w:r>
        <w:rPr>
          <w:rStyle w:val="DecValTok"/>
        </w:rPr>
        <w:t xml:space="preserve">1</w:t>
      </w:r>
      <w:r>
        <w:rPr>
          <w:rStyle w:val="NormalTok"/>
        </w:rPr>
        <w:t xml:space="preserve">]),</w:t>
      </w:r>
      <w:r>
        <w:br/>
      </w:r>
      <w:r>
        <w:rPr>
          <w:rStyle w:val="NormalTok"/>
        </w:rPr>
        <w:t xml:space="preserve">    output_dir</w:t>
      </w:r>
      <w:r>
        <w:rPr>
          <w:rStyle w:val="OperatorTok"/>
        </w:rPr>
        <w:t xml:space="preserve">=</w:t>
      </w:r>
      <w:r>
        <w:rPr>
          <w:rStyle w:val="SpecialStringTok"/>
        </w:rPr>
        <w:t xml:space="preserve">f"</w:t>
      </w:r>
      <w:r>
        <w:rPr>
          <w:rStyle w:val="SpecialCharTok"/>
        </w:rPr>
        <w:t xml:space="preserve">{</w:t>
      </w:r>
      <w:r>
        <w:rPr>
          <w:rStyle w:val="NormalTok"/>
        </w:rPr>
        <w:t xml:space="preserve">OUT_DIR</w:t>
      </w:r>
      <w:r>
        <w:rPr>
          <w:rStyle w:val="SpecialCharTok"/>
        </w:rPr>
        <w:t xml:space="preserve">}</w:t>
      </w:r>
      <w:r>
        <w:rPr>
          <w:rStyle w:val="SpecialStringTok"/>
        </w:rPr>
        <w:t xml:space="preserve">/urban_expansion"</w:t>
      </w:r>
      <w:r>
        <w:rPr>
          <w:rStyle w:val="NormalTok"/>
        </w:rPr>
        <w:t xml:space="preserve">,</w:t>
      </w:r>
      <w:r>
        <w:br/>
      </w:r>
      <w:r>
        <w:rPr>
          <w:rStyle w:val="NormalTok"/>
        </w:rPr>
        <w:t xml:space="preserve">    report</w:t>
      </w:r>
      <w:r>
        <w:rPr>
          <w:rStyle w:val="OperatorTok"/>
        </w:rPr>
        <w:t xml:space="preserve">=</w:t>
      </w:r>
      <w:r>
        <w:rPr>
          <w:rStyle w:val="VariableTok"/>
        </w:rPr>
        <w:t xml:space="preserve">False</w:t>
      </w:r>
      <w:r>
        <w:rPr>
          <w:rStyle w:val="NormalTok"/>
        </w:rPr>
        <w:t xml:space="preserve">,  </w:t>
      </w:r>
      <w:r>
        <w:rPr>
          <w:rStyle w:val="CommentTok"/>
        </w:rPr>
        <w:t xml:space="preserve"># skip pygeovision's own PDF/Word/Excel reports</w:t>
      </w:r>
      <w:r>
        <w:br/>
      </w:r>
      <w:r>
        <w:rPr>
          <w:rStyle w:val="NormalTok"/>
        </w:rPr>
        <w:t xml:space="preserve">)</w:t>
      </w:r>
      <w:r>
        <w:br/>
      </w:r>
      <w:r>
        <w:rPr>
          <w:rStyle w:val="BuiltInTok"/>
        </w:rPr>
        <w:t xml:space="preserve">print</w:t>
      </w:r>
      <w:r>
        <w:rPr>
          <w:rStyle w:val="NormalTok"/>
        </w:rPr>
        <w:t xml:space="preserve">(</w:t>
      </w:r>
      <w:r>
        <w:rPr>
          <w:rStyle w:val="StringTok"/>
        </w:rPr>
        <w:t xml:space="preserve">"success:"</w:t>
      </w:r>
      <w:r>
        <w:rPr>
          <w:rStyle w:val="NormalTok"/>
        </w:rPr>
        <w:t xml:space="preserve">, ue_result.success, </w:t>
      </w:r>
      <w:r>
        <w:rPr>
          <w:rStyle w:val="StringTok"/>
        </w:rPr>
        <w:t xml:space="preserve">"|"</w:t>
      </w:r>
      <w:r>
        <w:rPr>
          <w:rStyle w:val="NormalTok"/>
        </w:rPr>
        <w:t xml:space="preserve">, ue_result.error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{k: v </w:t>
      </w:r>
      <w:r>
        <w:rPr>
          <w:rStyle w:val="ControlFlowTok"/>
        </w:rPr>
        <w:t xml:space="preserve">for</w:t>
      </w:r>
      <w:r>
        <w:rPr>
          <w:rStyle w:val="NormalTok"/>
        </w:rPr>
        <w:t xml:space="preserve"> k, v </w:t>
      </w:r>
      <w:r>
        <w:rPr>
          <w:rStyle w:val="KeywordTok"/>
        </w:rPr>
        <w:t xml:space="preserve">in</w:t>
      </w:r>
      <w:r>
        <w:rPr>
          <w:rStyle w:val="NormalTok"/>
        </w:rPr>
        <w:t xml:space="preserve"> (ue_result.stats </w:t>
      </w:r>
      <w:r>
        <w:rPr>
          <w:rStyle w:val="KeywordTok"/>
        </w:rPr>
        <w:t xml:space="preserve">or</w:t>
      </w:r>
      <w:r>
        <w:rPr>
          <w:rStyle w:val="NormalTok"/>
        </w:rPr>
        <w:t xml:space="preserve"> {}).items()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"product_note"</w:t>
      </w:r>
      <w:r>
        <w:rPr>
          <w:rStyle w:val="NormalTok"/>
        </w:rPr>
        <w:t xml:space="preserve">}</w:t>
      </w:r>
    </w:p>
    <w:p>
      <w:pPr>
        <w:pStyle w:val="FirstParagraph"/>
      </w:pPr>
      <w:r>
        <w:rPr>
          <w:bCs/>
          <w:b/>
        </w:rPr>
        <w:t xml:space="preserve">B4. Question 3: GHSL surface and volume on a 100 m grid for the maps</w:t>
      </w:r>
    </w:p>
    <w:p>
      <w:pPr>
        <w:pStyle w:val="SourceCode"/>
      </w:pPr>
      <w:r>
        <w:rPr>
          <w:rStyle w:val="NormalTok"/>
        </w:rPr>
        <w:t xml:space="preserve">grid100 </w:t>
      </w:r>
      <w:r>
        <w:rPr>
          <w:rStyle w:val="OperatorTok"/>
        </w:rPr>
        <w:t xml:space="preserve">=</w:t>
      </w:r>
      <w:r>
        <w:rPr>
          <w:rStyle w:val="NormalTok"/>
        </w:rPr>
        <w:t xml:space="preserve"> make_grid(AOI_BBOX, </w:t>
      </w:r>
      <w:r>
        <w:rPr>
          <w:rStyle w:val="DecValTok"/>
        </w:rPr>
        <w:t xml:space="preserve">100</w:t>
      </w:r>
      <w:r>
        <w:rPr>
          <w:rStyle w:val="NormalTok"/>
        </w:rPr>
        <w:t xml:space="preserve">, UTM)</w:t>
      </w:r>
      <w:r>
        <w:br/>
      </w:r>
      <w:r>
        <w:br/>
      </w:r>
      <w:r>
        <w:rPr>
          <w:rStyle w:val="KeywordTok"/>
        </w:rPr>
        <w:t xml:space="preserve">def</w:t>
      </w:r>
      <w:r>
        <w:rPr>
          <w:rStyle w:val="NormalTok"/>
        </w:rPr>
        <w:t xml:space="preserve"> _g(product, epoch):</w:t>
      </w:r>
      <w:r>
        <w:br/>
      </w:r>
      <w:r>
        <w:rPr>
          <w:rStyle w:val="NormalTok"/>
        </w:rPr>
        <w:t xml:space="preserve">    </w:t>
      </w:r>
      <w:r>
        <w:rPr>
          <w:rStyle w:val="ControlFlowTok"/>
        </w:rPr>
        <w:t xml:space="preserve">return</w:t>
      </w:r>
      <w:r>
        <w:rPr>
          <w:rStyle w:val="NormalTok"/>
        </w:rPr>
        <w:t xml:space="preserve"> np.nan_to_num(read_to_grid([ghsl[product, epoch]], grid100, resampling</w:t>
      </w:r>
      <w:r>
        <w:rPr>
          <w:rStyle w:val="OperatorTok"/>
        </w:rPr>
        <w:t xml:space="preserve">=</w:t>
      </w:r>
      <w:r>
        <w:rPr>
          <w:rStyle w:val="StringTok"/>
        </w:rPr>
        <w:t xml:space="preserve">"nearest"</w:t>
      </w:r>
      <w:r>
        <w:rPr>
          <w:rStyle w:val="NormalTok"/>
        </w:rPr>
        <w:t xml:space="preserve">,</w:t>
      </w:r>
      <w:r>
        <w:br/>
      </w:r>
      <w:r>
        <w:rPr>
          <w:rStyle w:val="NormalTok"/>
        </w:rPr>
        <w:t xml:space="preserve">                                      invalid_values</w:t>
      </w:r>
      <w:r>
        <w:rPr>
          <w:rStyle w:val="OperatorTok"/>
        </w:rPr>
        <w:t xml:space="preserve">=</w:t>
      </w:r>
      <w:r>
        <w:rPr>
          <w:rStyle w:val="NormalTok"/>
        </w:rPr>
        <w:t xml:space="preserve">[</w:t>
      </w:r>
      <w:r>
        <w:rPr>
          <w:rStyle w:val="DecValTok"/>
        </w:rPr>
        <w:t xml:space="preserve">65535</w:t>
      </w:r>
      <w:r>
        <w:rPr>
          <w:rStyle w:val="NormalTok"/>
        </w:rPr>
        <w:t xml:space="preserve">, </w:t>
      </w:r>
      <w:r>
        <w:rPr>
          <w:rStyle w:val="OperatorTok"/>
        </w:rPr>
        <w:t xml:space="preserve">-</w:t>
      </w:r>
      <w:r>
        <w:rPr>
          <w:rStyle w:val="DecValTok"/>
        </w:rPr>
        <w:t xml:space="preserve">200</w:t>
      </w:r>
      <w:r>
        <w:rPr>
          <w:rStyle w:val="NormalTok"/>
        </w:rPr>
        <w:t xml:space="preserve">]).data)</w:t>
      </w:r>
      <w:r>
        <w:br/>
      </w:r>
      <w:r>
        <w:br/>
      </w:r>
      <w:r>
        <w:rPr>
          <w:rStyle w:val="NormalTok"/>
        </w:rPr>
        <w:t xml:space="preserve">surf </w:t>
      </w:r>
      <w:r>
        <w:rPr>
          <w:rStyle w:val="OperatorTok"/>
        </w:rPr>
        <w:t xml:space="preserve">=</w:t>
      </w:r>
      <w:r>
        <w:rPr>
          <w:rStyle w:val="NormalTok"/>
        </w:rPr>
        <w:t xml:space="preserve"> {_e: _g(</w:t>
      </w:r>
      <w:r>
        <w:rPr>
          <w:rStyle w:val="StringTok"/>
        </w:rPr>
        <w:t xml:space="preserve">"BUILT_S"</w:t>
      </w:r>
      <w:r>
        <w:rPr>
          <w:rStyle w:val="NormalTok"/>
        </w:rPr>
        <w:t xml:space="preserve">, _e) </w:t>
      </w:r>
      <w:r>
        <w:rPr>
          <w:rStyle w:val="ControlFlowTok"/>
        </w:rPr>
        <w:t xml:space="preserve">for</w:t>
      </w:r>
      <w:r>
        <w:rPr>
          <w:rStyle w:val="NormalTok"/>
        </w:rPr>
        <w:t xml:space="preserve"> _e </w:t>
      </w:r>
      <w:r>
        <w:rPr>
          <w:rStyle w:val="KeywordTok"/>
        </w:rPr>
        <w:t xml:space="preserve">in</w:t>
      </w:r>
      <w:r>
        <w:rPr>
          <w:rStyle w:val="NormalTok"/>
        </w:rPr>
        <w:t xml:space="preserve"> EPOCHS}</w:t>
      </w:r>
      <w:r>
        <w:br/>
      </w:r>
      <w:r>
        <w:rPr>
          <w:rStyle w:val="NormalTok"/>
        </w:rPr>
        <w:t xml:space="preserve">vol </w:t>
      </w:r>
      <w:r>
        <w:rPr>
          <w:rStyle w:val="OperatorTok"/>
        </w:rPr>
        <w:t xml:space="preserve">=</w:t>
      </w:r>
      <w:r>
        <w:rPr>
          <w:rStyle w:val="NormalTok"/>
        </w:rPr>
        <w:t xml:space="preserve"> {_e: _g(</w:t>
      </w:r>
      <w:r>
        <w:rPr>
          <w:rStyle w:val="StringTok"/>
        </w:rPr>
        <w:t xml:space="preserve">"BUILT_V"</w:t>
      </w:r>
      <w:r>
        <w:rPr>
          <w:rStyle w:val="NormalTok"/>
        </w:rPr>
        <w:t xml:space="preserve">, _e) </w:t>
      </w:r>
      <w:r>
        <w:rPr>
          <w:rStyle w:val="ControlFlowTok"/>
        </w:rPr>
        <w:t xml:space="preserve">for</w:t>
      </w:r>
      <w:r>
        <w:rPr>
          <w:rStyle w:val="NormalTok"/>
        </w:rPr>
        <w:t xml:space="preserve"> _e </w:t>
      </w:r>
      <w:r>
        <w:rPr>
          <w:rStyle w:val="KeywordTok"/>
        </w:rPr>
        <w:t xml:space="preserve">in</w:t>
      </w:r>
      <w:r>
        <w:rPr>
          <w:rStyle w:val="NormalTok"/>
        </w:rPr>
        <w:t xml:space="preserve"> EPOCHS}</w:t>
      </w:r>
      <w:r>
        <w:br/>
      </w:r>
      <w:r>
        <w:rPr>
          <w:rStyle w:val="NormalTok"/>
        </w:rPr>
        <w:t xml:space="preserve">_l, _b, _r, _t </w:t>
      </w:r>
      <w:r>
        <w:rPr>
          <w:rStyle w:val="OperatorTok"/>
        </w:rPr>
        <w:t xml:space="preserve">=</w:t>
      </w:r>
      <w:r>
        <w:rPr>
          <w:rStyle w:val="NormalTok"/>
        </w:rPr>
        <w:t xml:space="preserve"> grid100.bounds</w:t>
      </w:r>
      <w:r>
        <w:br/>
      </w:r>
      <w:r>
        <w:rPr>
          <w:rStyle w:val="NormalTok"/>
        </w:rPr>
        <w:t xml:space="preserve">extent100 </w:t>
      </w:r>
      <w:r>
        <w:rPr>
          <w:rStyle w:val="OperatorTok"/>
        </w:rPr>
        <w:t xml:space="preserve">=</w:t>
      </w:r>
      <w:r>
        <w:rPr>
          <w:rStyle w:val="NormalTok"/>
        </w:rPr>
        <w:t xml:space="preserve"> [_l, _r, _b, _t]</w:t>
      </w:r>
      <w:r>
        <w:br/>
      </w:r>
      <w:r>
        <w:rPr>
          <w:rStyle w:val="NormalTok"/>
        </w:rPr>
        <w:t xml:space="preserve">dsurf </w:t>
      </w:r>
      <w:r>
        <w:rPr>
          <w:rStyle w:val="OperatorTok"/>
        </w:rPr>
        <w:t xml:space="preserve">=</w:t>
      </w:r>
      <w:r>
        <w:rPr>
          <w:rStyle w:val="NormalTok"/>
        </w:rPr>
        <w:t xml:space="preserve"> surf[EPOCHS[</w:t>
      </w:r>
      <w:r>
        <w:rPr>
          <w:rStyle w:val="DecValTok"/>
        </w:rPr>
        <w:t xml:space="preserve">1</w:t>
      </w:r>
      <w:r>
        <w:rPr>
          <w:rStyle w:val="NormalTok"/>
        </w:rPr>
        <w:t xml:space="preserve">]] </w:t>
      </w:r>
      <w:r>
        <w:rPr>
          <w:rStyle w:val="OperatorTok"/>
        </w:rPr>
        <w:t xml:space="preserve">-</w:t>
      </w:r>
      <w:r>
        <w:rPr>
          <w:rStyle w:val="NormalTok"/>
        </w:rPr>
        <w:t xml:space="preserve"> surf[EPOCHS[</w:t>
      </w:r>
      <w:r>
        <w:rPr>
          <w:rStyle w:val="DecValTok"/>
        </w:rPr>
        <w:t xml:space="preserve">0</w:t>
      </w:r>
      <w:r>
        <w:rPr>
          <w:rStyle w:val="NormalTok"/>
        </w:rPr>
        <w:t xml:space="preserve">]]</w:t>
      </w:r>
      <w:r>
        <w:br/>
      </w:r>
      <w:r>
        <w:rPr>
          <w:rStyle w:val="NormalTok"/>
        </w:rPr>
        <w:t xml:space="preserve">dvol </w:t>
      </w:r>
      <w:r>
        <w:rPr>
          <w:rStyle w:val="OperatorTok"/>
        </w:rPr>
        <w:t xml:space="preserve">=</w:t>
      </w:r>
      <w:r>
        <w:rPr>
          <w:rStyle w:val="NormalTok"/>
        </w:rPr>
        <w:t xml:space="preserve"> vol[EPOCHS[</w:t>
      </w:r>
      <w:r>
        <w:rPr>
          <w:rStyle w:val="DecValTok"/>
        </w:rPr>
        <w:t xml:space="preserve">1</w:t>
      </w:r>
      <w:r>
        <w:rPr>
          <w:rStyle w:val="NormalTok"/>
        </w:rPr>
        <w:t xml:space="preserve">]] </w:t>
      </w:r>
      <w:r>
        <w:rPr>
          <w:rStyle w:val="OperatorTok"/>
        </w:rPr>
        <w:t xml:space="preserve">-</w:t>
      </w:r>
      <w:r>
        <w:rPr>
          <w:rStyle w:val="NormalTok"/>
        </w:rPr>
        <w:t xml:space="preserve"> vol[EPOCHS[</w:t>
      </w:r>
      <w:r>
        <w:rPr>
          <w:rStyle w:val="DecValTok"/>
        </w:rPr>
        <w:t xml:space="preserve">0</w:t>
      </w:r>
      <w:r>
        <w:rPr>
          <w:rStyle w:val="NormalTok"/>
        </w:rPr>
        <w:t xml:space="preserve">]]</w:t>
      </w:r>
    </w:p>
    <w:p>
      <w:pPr>
        <w:pStyle w:val="FirstParagraph"/>
      </w:pPr>
      <w:r>
        <w:rPr>
          <w:bCs/>
          <w:b/>
        </w:rPr>
        <w:t xml:space="preserve">B5. Question 4: map of the volume change</w:t>
      </w:r>
    </w:p>
    <w:p>
      <w:pPr>
        <w:pStyle w:val="SourceCode"/>
      </w:pPr>
      <w:r>
        <w:rPr>
          <w:rStyle w:val="NormalTok"/>
        </w:rPr>
        <w:t xml:space="preserve">_lim </w:t>
      </w:r>
      <w:r>
        <w:rPr>
          <w:rStyle w:val="OperatorTok"/>
        </w:rPr>
        <w:t xml:space="preserve">=</w:t>
      </w:r>
      <w:r>
        <w:rPr>
          <w:rStyle w:val="NormalTok"/>
        </w:rPr>
        <w:t xml:space="preserve"> </w:t>
      </w:r>
      <w:r>
        <w:rPr>
          <w:rStyle w:val="BuiltInTok"/>
        </w:rPr>
        <w:t xml:space="preserve">max</w:t>
      </w:r>
      <w:r>
        <w:rPr>
          <w:rStyle w:val="NormalTok"/>
        </w:rPr>
        <w:t xml:space="preserve">(np.nanmax(np.</w:t>
      </w:r>
      <w:r>
        <w:rPr>
          <w:rStyle w:val="BuiltInTok"/>
        </w:rPr>
        <w:t xml:space="preserve">abs</w:t>
      </w:r>
      <w:r>
        <w:rPr>
          <w:rStyle w:val="NormalTok"/>
        </w:rPr>
        <w:t xml:space="preserve">(dvol)), </w:t>
      </w:r>
      <w:r>
        <w:rPr>
          <w:rStyle w:val="DecValTok"/>
        </w:rPr>
        <w:t xml:space="preserve">1</w:t>
      </w:r>
      <w:r>
        <w:rPr>
          <w:rStyle w:val="NormalTok"/>
        </w:rPr>
        <w:t xml:space="preserve">)</w:t>
      </w:r>
      <w:r>
        <w:br/>
      </w:r>
      <w:r>
        <w:rPr>
          <w:rStyle w:val="NormalTok"/>
        </w:rPr>
        <w:t xml:space="preserve">fig_vol, _ax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7</w:t>
      </w:r>
      <w:r>
        <w:rPr>
          <w:rStyle w:val="NormalTok"/>
        </w:rPr>
        <w:t xml:space="preserve">))</w:t>
      </w:r>
      <w:r>
        <w:br/>
      </w:r>
      <w:r>
        <w:rPr>
          <w:rStyle w:val="NormalTok"/>
        </w:rPr>
        <w:t xml:space="preserve">_ax.imshow(rgb, extent</w:t>
      </w:r>
      <w:r>
        <w:rPr>
          <w:rStyle w:val="OperatorTok"/>
        </w:rPr>
        <w:t xml:space="preserve">=</w:t>
      </w:r>
      <w:r>
        <w:rPr>
          <w:rStyle w:val="NormalTok"/>
        </w:rPr>
        <w:t xml:space="preserve">s2_extent, alpha</w:t>
      </w:r>
      <w:r>
        <w:rPr>
          <w:rStyle w:val="OperatorTok"/>
        </w:rPr>
        <w:t xml:space="preserve">=</w:t>
      </w:r>
      <w:r>
        <w:rPr>
          <w:rStyle w:val="FloatTok"/>
        </w:rPr>
        <w:t xml:space="preserve">0.45</w:t>
      </w:r>
      <w:r>
        <w:rPr>
          <w:rStyle w:val="NormalTok"/>
        </w:rPr>
        <w:t xml:space="preserve">)</w:t>
      </w:r>
      <w:r>
        <w:br/>
      </w:r>
      <w:r>
        <w:rPr>
          <w:rStyle w:val="NormalTok"/>
        </w:rPr>
        <w:t xml:space="preserve">_im </w:t>
      </w:r>
      <w:r>
        <w:rPr>
          <w:rStyle w:val="OperatorTok"/>
        </w:rPr>
        <w:t xml:space="preserve">=</w:t>
      </w:r>
      <w:r>
        <w:rPr>
          <w:rStyle w:val="NormalTok"/>
        </w:rPr>
        <w:t xml:space="preserve"> _ax.imshow(dvol,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NormalTok"/>
        </w:rPr>
        <w:t xml:space="preserve">_lim, vmax</w:t>
      </w:r>
      <w:r>
        <w:rPr>
          <w:rStyle w:val="OperatorTok"/>
        </w:rPr>
        <w:t xml:space="preserve">=</w:t>
      </w:r>
      <w:r>
        <w:rPr>
          <w:rStyle w:val="NormalTok"/>
        </w:rPr>
        <w:t xml:space="preserve">_lim, extent</w:t>
      </w:r>
      <w:r>
        <w:rPr>
          <w:rStyle w:val="OperatorTok"/>
        </w:rPr>
        <w:t xml:space="preserve">=</w:t>
      </w:r>
      <w:r>
        <w:rPr>
          <w:rStyle w:val="NormalTok"/>
        </w:rPr>
        <w:t xml:space="preserve">extent100, alpha</w:t>
      </w:r>
      <w:r>
        <w:rPr>
          <w:rStyle w:val="OperatorTok"/>
        </w:rPr>
        <w:t xml:space="preserve">=</w:t>
      </w:r>
      <w:r>
        <w:rPr>
          <w:rStyle w:val="FloatTok"/>
        </w:rPr>
        <w:t xml:space="preserve">0.85</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(buildings[</w:t>
      </w:r>
      <w:r>
        <w:rPr>
          <w:rStyle w:val="StringTok"/>
        </w:rPr>
        <w:t xml:space="preserve">"Microsoft"</w:t>
      </w:r>
      <w:r>
        <w:rPr>
          <w:rStyle w:val="NormalTok"/>
        </w:rPr>
        <w:t xml:space="preserve">]):</w:t>
      </w:r>
      <w:r>
        <w:br/>
      </w:r>
      <w:r>
        <w:rPr>
          <w:rStyle w:val="NormalTok"/>
        </w:rPr>
        <w:t xml:space="preserve">    buildings[</w:t>
      </w:r>
      <w:r>
        <w:rPr>
          <w:rStyle w:val="StringTok"/>
        </w:rPr>
        <w:t xml:space="preserve">"Microsoft"</w:t>
      </w:r>
      <w:r>
        <w:rPr>
          <w:rStyle w:val="NormalTok"/>
        </w:rPr>
        <w:t xml:space="preserve">].boundary.plot(ax</w:t>
      </w:r>
      <w:r>
        <w:rPr>
          <w:rStyle w:val="OperatorTok"/>
        </w:rPr>
        <w:t xml:space="preserve">=</w:t>
      </w:r>
      <w:r>
        <w:rPr>
          <w:rStyle w:val="NormalTok"/>
        </w:rPr>
        <w:t xml:space="preserve">_ax,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0.15</w:t>
      </w:r>
      <w:r>
        <w:rPr>
          <w:rStyle w:val="NormalTok"/>
        </w:rPr>
        <w:t xml:space="preserve">)</w:t>
      </w:r>
      <w:r>
        <w:br/>
      </w:r>
      <w:r>
        <w:rPr>
          <w:rStyle w:val="CommentTok"/>
        </w:rPr>
        <w:t xml:space="preserve"># outline the ten cells with the largest gain</w:t>
      </w:r>
      <w:r>
        <w:br/>
      </w:r>
      <w:r>
        <w:rPr>
          <w:rStyle w:val="ControlFlowTok"/>
        </w:rPr>
        <w:t xml:space="preserve">for</w:t>
      </w:r>
      <w:r>
        <w:rPr>
          <w:rStyle w:val="NormalTok"/>
        </w:rPr>
        <w:t xml:space="preserve"> _idx </w:t>
      </w:r>
      <w:r>
        <w:rPr>
          <w:rStyle w:val="KeywordTok"/>
        </w:rPr>
        <w:t xml:space="preserve">in</w:t>
      </w:r>
      <w:r>
        <w:rPr>
          <w:rStyle w:val="NormalTok"/>
        </w:rPr>
        <w:t xml:space="preserve"> np.argsort(dvol, axis</w:t>
      </w:r>
      <w:r>
        <w:rPr>
          <w:rStyle w:val="OperatorTok"/>
        </w:rPr>
        <w:t xml:space="preserve">=</w:t>
      </w:r>
      <w:r>
        <w:rPr>
          <w:rStyle w:val="VariableTok"/>
        </w:rPr>
        <w:t xml:space="preserve">None</w:t>
      </w:r>
      <w:r>
        <w:rPr>
          <w:rStyle w:val="NormalTok"/>
        </w:rPr>
        <w:t xml:space="preserve">)[</w:t>
      </w:r>
      <w:r>
        <w:rPr>
          <w:rStyle w:val="OperatorTok"/>
        </w:rPr>
        <w:t xml:space="preserve">-</w:t>
      </w:r>
      <w:r>
        <w:rPr>
          <w:rStyle w:val="DecValTok"/>
        </w:rPr>
        <w:t xml:space="preserve">10</w:t>
      </w:r>
      <w:r>
        <w:rPr>
          <w:rStyle w:val="NormalTok"/>
        </w:rPr>
        <w:t xml:space="preserve">:]:</w:t>
      </w:r>
      <w:r>
        <w:br/>
      </w:r>
      <w:r>
        <w:rPr>
          <w:rStyle w:val="NormalTok"/>
        </w:rPr>
        <w:t xml:space="preserve">    _r, _c </w:t>
      </w:r>
      <w:r>
        <w:rPr>
          <w:rStyle w:val="OperatorTok"/>
        </w:rPr>
        <w:t xml:space="preserve">=</w:t>
      </w:r>
      <w:r>
        <w:rPr>
          <w:rStyle w:val="NormalTok"/>
        </w:rPr>
        <w:t xml:space="preserve"> np.unravel_index(_idx, dvol.shape)</w:t>
      </w:r>
      <w:r>
        <w:br/>
      </w:r>
      <w:r>
        <w:rPr>
          <w:rStyle w:val="NormalTok"/>
        </w:rPr>
        <w:t xml:space="preserve">    _ax.add_patch(Rectangle((extent100[</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_c, extent100[</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(_r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                            fill</w:t>
      </w:r>
      <w:r>
        <w:rPr>
          <w:rStyle w:val="OperatorTok"/>
        </w:rPr>
        <w:t xml:space="preserve">=</w:t>
      </w:r>
      <w:r>
        <w:rPr>
          <w:rStyle w:val="VariableTok"/>
        </w:rPr>
        <w:t xml:space="preserve">False</w:t>
      </w:r>
      <w:r>
        <w:rPr>
          <w:rStyle w:val="NormalTok"/>
        </w:rPr>
        <w:t xml:space="preserve">, edgecolor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1.4</w:t>
      </w:r>
      <w:r>
        <w:rPr>
          <w:rStyle w:val="NormalTok"/>
        </w:rPr>
        <w:t xml:space="preserve">))</w:t>
      </w:r>
      <w:r>
        <w:br/>
      </w:r>
      <w:r>
        <w:rPr>
          <w:rStyle w:val="NormalTok"/>
        </w:rPr>
        <w:t xml:space="preserve">_ax.set_xlim(s2_extent[</w:t>
      </w:r>
      <w:r>
        <w:rPr>
          <w:rStyle w:val="DecValTok"/>
        </w:rPr>
        <w:t xml:space="preserve">0</w:t>
      </w:r>
      <w:r>
        <w:rPr>
          <w:rStyle w:val="NormalTok"/>
        </w:rPr>
        <w:t xml:space="preserve">], s2_extent[</w:t>
      </w:r>
      <w:r>
        <w:rPr>
          <w:rStyle w:val="DecValTok"/>
        </w:rPr>
        <w:t xml:space="preserve">1</w:t>
      </w:r>
      <w:r>
        <w:rPr>
          <w:rStyle w:val="NormalTok"/>
        </w:rPr>
        <w:t xml:space="preserve">])</w:t>
      </w:r>
      <w:r>
        <w:br/>
      </w:r>
      <w:r>
        <w:rPr>
          <w:rStyle w:val="NormalTok"/>
        </w:rPr>
        <w:t xml:space="preserve">_ax.set_ylim(s2_extent[</w:t>
      </w:r>
      <w:r>
        <w:rPr>
          <w:rStyle w:val="DecValTok"/>
        </w:rPr>
        <w:t xml:space="preserve">2</w:t>
      </w:r>
      <w:r>
        <w:rPr>
          <w:rStyle w:val="NormalTok"/>
        </w:rPr>
        <w:t xml:space="preserve">], s2_extent[</w:t>
      </w:r>
      <w:r>
        <w:rPr>
          <w:rStyle w:val="DecValTok"/>
        </w:rPr>
        <w:t xml:space="preserve">3</w:t>
      </w:r>
      <w:r>
        <w:rPr>
          <w:rStyle w:val="NormalTok"/>
        </w:rPr>
        <w:t xml:space="preserve">])</w:t>
      </w:r>
      <w:r>
        <w:br/>
      </w:r>
      <w:r>
        <w:rPr>
          <w:rStyle w:val="NormalTok"/>
        </w:rPr>
        <w:t xml:space="preserve">_ax.set_title(</w:t>
      </w:r>
      <w:r>
        <w:rPr>
          <w:rStyle w:val="SpecialStringTok"/>
        </w:rPr>
        <w:t xml:space="preserve">f"GHS_BUILT_V change </w:t>
      </w:r>
      <w:r>
        <w:rPr>
          <w:rStyle w:val="SpecialCharTok"/>
        </w:rPr>
        <w:t xml:space="preserve">{</w:t>
      </w:r>
      <w:r>
        <w:rPr>
          <w:rStyle w:val="NormalTok"/>
        </w:rPr>
        <w:t xml:space="preserve">EPOCHS[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EPOCHS[</w:t>
      </w:r>
      <w:r>
        <w:rPr>
          <w:rStyle w:val="DecValTok"/>
        </w:rPr>
        <w:t xml:space="preserve">1</w:t>
      </w:r>
      <w:r>
        <w:rPr>
          <w:rStyle w:val="NormalTok"/>
        </w:rPr>
        <w:t xml:space="preserve">]</w:t>
      </w:r>
      <w:r>
        <w:rPr>
          <w:rStyle w:val="SpecialCharTok"/>
        </w:rPr>
        <w:t xml:space="preserve">}</w:t>
      </w:r>
      <w:r>
        <w:rPr>
          <w:rStyle w:val="SpecialStringTok"/>
        </w:rPr>
        <w:t xml:space="preserve"> per 100 m cell (black = 10 largest gains)"</w:t>
      </w:r>
      <w:r>
        <w:rPr>
          <w:rStyle w:val="NormalTok"/>
        </w:rPr>
        <w:t xml:space="preserve">)</w:t>
      </w:r>
      <w:r>
        <w:br/>
      </w:r>
      <w:r>
        <w:rPr>
          <w:rStyle w:val="NormalTok"/>
        </w:rPr>
        <w:t xml:space="preserve">_ax.set_axis_off()</w:t>
      </w:r>
      <w:r>
        <w:br/>
      </w:r>
      <w:r>
        <w:rPr>
          <w:rStyle w:val="NormalTok"/>
        </w:rPr>
        <w:t xml:space="preserve">fig_vol.colorbar(_im, ax</w:t>
      </w:r>
      <w:r>
        <w:rPr>
          <w:rStyle w:val="OperatorTok"/>
        </w:rPr>
        <w:t xml:space="preserve">=</w:t>
      </w:r>
      <w:r>
        <w:rPr>
          <w:rStyle w:val="NormalTok"/>
        </w:rPr>
        <w:t xml:space="preserve">_ax, shrink</w:t>
      </w:r>
      <w:r>
        <w:rPr>
          <w:rStyle w:val="OperatorTok"/>
        </w:rPr>
        <w:t xml:space="preserve">=</w:t>
      </w:r>
      <w:r>
        <w:rPr>
          <w:rStyle w:val="FloatTok"/>
        </w:rPr>
        <w:t xml:space="preserve">0.75</w:t>
      </w:r>
      <w:r>
        <w:rPr>
          <w:rStyle w:val="NormalTok"/>
        </w:rPr>
        <w:t xml:space="preserve">, label</w:t>
      </w:r>
      <w:r>
        <w:rPr>
          <w:rStyle w:val="OperatorTok"/>
        </w:rPr>
        <w:t xml:space="preserve">=</w:t>
      </w:r>
      <w:r>
        <w:rPr>
          <w:rStyle w:val="StringTok"/>
        </w:rPr>
        <w:t xml:space="preserve">"volume change [m³ per 100 m cell]"</w:t>
      </w:r>
      <w:r>
        <w:rPr>
          <w:rStyle w:val="NormalTok"/>
        </w:rPr>
        <w:t xml:space="preserve">)</w:t>
      </w:r>
      <w:r>
        <w:br/>
      </w:r>
      <w:r>
        <w:rPr>
          <w:rStyle w:val="NormalTok"/>
        </w:rPr>
        <w:t xml:space="preserve">save_fig(fig_vol, </w:t>
      </w:r>
      <w:r>
        <w:rPr>
          <w:rStyle w:val="StringTok"/>
        </w:rPr>
        <w:t xml:space="preserve">"fig_vol"</w:t>
      </w:r>
      <w:r>
        <w:rPr>
          <w:rStyle w:val="NormalTok"/>
        </w:rPr>
        <w:t xml:space="preserve">)</w:t>
      </w:r>
      <w:r>
        <w:br/>
      </w:r>
      <w:r>
        <w:rPr>
          <w:rStyle w:val="NormalTok"/>
        </w:rPr>
        <w:t xml:space="preserve">plt.show()</w:t>
      </w:r>
    </w:p>
    <w:bookmarkEnd w:id="65"/>
    <w:bookmarkStart w:id="66" w:name="references"/>
    <w:p>
      <w:pPr>
        <w:pStyle w:val="Heading1"/>
      </w:pPr>
      <w:r>
        <w:t xml:space="preserve">References</w:t>
      </w:r>
    </w:p>
    <w:p>
      <w:pPr>
        <w:pStyle w:val="FirstParagraph"/>
      </w:pPr>
      <w:r>
        <w:t xml:space="preserve">Appiah Kubi, S. (2026).</w:t>
      </w:r>
      <w:r>
        <w:t xml:space="preserve"> </w:t>
      </w:r>
      <w:r>
        <w:rPr>
          <w:iCs/>
          <w:i/>
        </w:rPr>
        <w:t xml:space="preserve">pygeovision: A Unified Open-Source Python Platform for Satellite Earth Observation AI</w:t>
      </w:r>
      <w:r>
        <w:t xml:space="preserve"> </w:t>
      </w:r>
      <w:r>
        <w:t xml:space="preserve">(Version 2.1.9) [Software]. Zenodo. https://doi.org/10.5281/zenodo.22258220</w:t>
      </w:r>
    </w:p>
    <w:p>
      <w:pPr>
        <w:pStyle w:val="BodyText"/>
      </w:pPr>
      <w:r>
        <w:t xml:space="preserve">Boeing, G. (2017). OSMnx: New methods for acquiring, constructing, analyzing, and visualizing complex street networks.</w:t>
      </w:r>
      <w:r>
        <w:t xml:space="preserve"> </w:t>
      </w:r>
      <w:r>
        <w:rPr>
          <w:iCs/>
          <w:i/>
        </w:rPr>
        <w:t xml:space="preserve">Computers, Environment and Urban Systems, 65</w:t>
      </w:r>
      <w:r>
        <w:t xml:space="preserve">, 126–139. https://doi.org/10.1016/j.compenvurbsys.2017.05.004</w:t>
      </w:r>
    </w:p>
    <w:p>
      <w:pPr>
        <w:pStyle w:val="BodyText"/>
      </w:pPr>
      <w:r>
        <w:t xml:space="preserve">Drusch, M., Del Bello, U., Carlier, S., Colin, O., Fernandez, V., Gascon, F., Hoersch, B., Isola, C., Laberinti, P., Martimort, P., Meygret, A., Spoto, F., Sy, O., Marchese, F., &amp; Bargellini, P. (2012). Sentinel-2: ESA’s optical high-resolution mission for GMES operational services.</w:t>
      </w:r>
      <w:r>
        <w:t xml:space="preserve"> </w:t>
      </w:r>
      <w:r>
        <w:rPr>
          <w:iCs/>
          <w:i/>
        </w:rPr>
        <w:t xml:space="preserve">Remote Sensing of Environment, 120</w:t>
      </w:r>
      <w:r>
        <w:t xml:space="preserve">, 25–36. https://doi.org/10.1016/j.rse.2011.11.026</w:t>
      </w:r>
    </w:p>
    <w:p>
      <w:pPr>
        <w:pStyle w:val="BodyText"/>
      </w:pPr>
      <w:r>
        <w:t xml:space="preserve">Jordahl, K., Van den Bossche, J., Fleischmann, M., Wasserman, J., McBride, J., Gerard, J., et al. (2020). geopandas/geopandas: v0.8.1 [Software]. Zenodo. https://doi.org/10.5281/zenodo.3946761</w:t>
      </w:r>
    </w:p>
    <w:p>
      <w:pPr>
        <w:pStyle w:val="BodyText"/>
      </w:pPr>
      <w:r>
        <w:t xml:space="preserve">Karra, K., Kontgis, C., Statman-Weil, Z., Mazzariello, J. C., Mathis, M., &amp; Brumby, S. P. (2021). Global land use/land cover with Sentinel-2 and deep learning.</w:t>
      </w:r>
      <w:r>
        <w:t xml:space="preserve"> </w:t>
      </w:r>
      <w:r>
        <w:rPr>
          <w:iCs/>
          <w:i/>
        </w:rPr>
        <w:t xml:space="preserve">IGARSS 2021</w:t>
      </w:r>
      <w:r>
        <w:t xml:space="preserve">, 4704–4707.</w:t>
      </w:r>
    </w:p>
    <w:p>
      <w:pPr>
        <w:pStyle w:val="BodyText"/>
      </w:pPr>
      <w:r>
        <w:t xml:space="preserve">marimo. (n.d.). marimo: A reactive Python notebook. https://marimo.io</w:t>
      </w:r>
    </w:p>
    <w:p>
      <w:pPr>
        <w:pStyle w:val="BodyText"/>
      </w:pPr>
      <w:r>
        <w:t xml:space="preserve">Microsoft. (2026). Global ML Building Footprints [Data set]. GitHub. https://github.com/microsoft/GlobalMLBuildingFootprints</w:t>
      </w:r>
    </w:p>
    <w:p>
      <w:pPr>
        <w:pStyle w:val="BodyText"/>
      </w:pPr>
      <w:r>
        <w:t xml:space="preserve">Esri. (n.d.). World Imagery [Basemap]. https://server.arcgisonline.com/ArcGIS/rest/services/World_Imagery/MapServer</w:t>
      </w:r>
    </w:p>
    <w:p>
      <w:pPr>
        <w:pStyle w:val="BodyText"/>
      </w:pPr>
      <w:r>
        <w:t xml:space="preserve">Microsoft. (n.d.). Microsoft Planetary Computer [Data catalogue]. https://planetarycomputer.microsoft.com</w:t>
      </w:r>
    </w:p>
    <w:p>
      <w:pPr>
        <w:pStyle w:val="BodyText"/>
      </w:pPr>
      <w:r>
        <w:t xml:space="preserve">OpenStreetMap contributors. (2026). OpenStreetMap [Data set]. https://www.openstreetmap.org</w:t>
      </w:r>
    </w:p>
    <w:p>
      <w:pPr>
        <w:pStyle w:val="BodyText"/>
      </w:pPr>
      <w:r>
        <w:t xml:space="preserve">Pesaresi, M., &amp; Politis, P. (2023). GHS-BUILT-S R2023A - GHS built-up surface grid, derived from Sentinel2 composite and Landsat, multitemporal (1975-2030) [Data set]. European Commission, Joint Research Centre. https://doi.org/10.2905/9F06F36F-4B11-47EC-ABB0-4F8B7B1D72EA</w:t>
      </w:r>
    </w:p>
    <w:p>
      <w:pPr>
        <w:pStyle w:val="BodyText"/>
      </w:pPr>
      <w:r>
        <w:t xml:space="preserve">Pesaresi, M., &amp; Politis, P. (2023). GHS-BUILT-V R2023A - GHS built-up volume grids derived from joint assessment of Sentinel2, Landsat, and global DEM data, multitemporal (1975-2030) [Data set]. European Commission, Joint Research Centre. https://doi.org/10.2905/AB2F107A-03CD-47A3-85E5-139D8EC63283</w:t>
      </w:r>
    </w:p>
    <w:p>
      <w:pPr>
        <w:pStyle w:val="BodyText"/>
      </w:pPr>
      <w:r>
        <w:t xml:space="preserve">Pesaresi, M., Schiavina, M., Politis, P., Freire, S., Krasnodębska, K., Uhl, J. H., Carioli, A., et al. (2024). Advances on the Global Human Settlement Layer by joint assessment of Earth observation and population survey data.</w:t>
      </w:r>
      <w:r>
        <w:t xml:space="preserve"> </w:t>
      </w:r>
      <w:r>
        <w:rPr>
          <w:iCs/>
          <w:i/>
        </w:rPr>
        <w:t xml:space="preserve">International Journal of Digital Earth, 17</w:t>
      </w:r>
      <w:r>
        <w:t xml:space="preserve">(1). https://doi.org/10.1080/17538947.2024.2390454</w:t>
      </w:r>
    </w:p>
    <w:p>
      <w:pPr>
        <w:pStyle w:val="BodyText"/>
      </w:pPr>
      <w:r>
        <w:t xml:space="preserve">Schiavina, M., Freire, S., Carioli, A., &amp; MacManus, K. (2023). GHS-POP R2023A: GHS population grid multitemporal (1975–2030) [Data set]. European Commission, Joint Research Centre. https://doi.org/10.2905/2FF68A52-5B5B-4A22-8F40-C41DA8332CFE</w:t>
      </w:r>
    </w:p>
    <w:p>
      <w:pPr>
        <w:pStyle w:val="BodyText"/>
      </w:pPr>
      <w:r>
        <w:t xml:space="preserve">Sirko, W., Kashubin, S., Ritter, M., Annkah, A., Bouchareb, Y. S. E., Dauphin, Y., Keysers, D., Neumann, M., Cisse, M., &amp; Quinn, J. (2021). Continental-scale building detection from high resolution satellite imagery. arXiv. https://arxiv.org/abs/2107.12283</w:t>
      </w:r>
    </w:p>
    <w:p>
      <w:pPr>
        <w:pStyle w:val="BodyText"/>
      </w:pPr>
      <w:r>
        <w:t xml:space="preserve">World Population Review. (2026). Piura Population 2026. https://worldpopulationreview.com/cities/peru/piura</w:t>
      </w:r>
    </w:p>
    <w:bookmarkEnd w:id="66"/>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pPr>
      <w:spacing w:after="180" w:before="180"/>
    </w:pPr>
    <w:qFormat/>
    <w:rPr>
      <w:rFonts w:ascii="Times New Roman" w:hAnsi="Times New Roman" w:eastAsia="Times New Roman"/>
      <w:sz w:val="24"/>
    </w:rPr>
  </w:style>
  <w:style w:customStyle="1" w:styleId="FirstParagraph" w:type="paragraph">
    <w:name w:val="First Paragraph"/>
    <w:basedOn w:val="BodyText"/>
    <w:next w:val="BodyText"/>
    <w:qFormat/>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38" Type="http://schemas.openxmlformats.org/officeDocument/2006/relationships/image" Target="media/rId38.png"/><Relationship Id="rId53" Type="http://schemas.openxmlformats.org/officeDocument/2006/relationships/image" Target="media/rId53.png"/><Relationship Id="rId49" Type="http://schemas.openxmlformats.org/officeDocument/2006/relationships/image" Target="media/rId49.png"/><Relationship Id="rId45" Type="http://schemas.openxmlformats.org/officeDocument/2006/relationships/image" Target="media/rId45.png"/><Relationship Id="rId42" Type="http://schemas.openxmlformats.org/officeDocument/2006/relationships/image" Target="media/rId42.png"/><Relationship Id="rId35" Type="http://schemas.openxmlformats.org/officeDocument/2006/relationships/image" Target="media/rId35.png"/><Relationship Id="rId23" Type="http://schemas.openxmlformats.org/officeDocument/2006/relationships/image" Target="media/rId23.png"/><Relationship Id="rId57" Type="http://schemas.openxmlformats.org/officeDocument/2006/relationships/image" Target="media/rId57.png"/><Relationship Id="rId21" Type="http://schemas.openxmlformats.org/officeDocument/2006/relationships/hyperlink" Target="https://pygeovision.readthedocs.io/en/latest/index.html" TargetMode="External"/><Relationship Id="rId20" Type="http://schemas.openxmlformats.org/officeDocument/2006/relationships/hyperlink" Target="https://worldpopulationreview.com/cities/peru/piura"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pygeovision.readthedocs.io/en/latest/index.html" TargetMode="External"/><Relationship Id="rId20" Type="http://schemas.openxmlformats.org/officeDocument/2006/relationships/hyperlink" Target="https://worldpopulationreview.com/cities/peru/pi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of Piura, Peru, 2020 to 2025</dc:title>
  <dc:creator/>
  <cp:keywords/>
  <dcterms:created xsi:type="dcterms:W3CDTF">2026-10-30T08:21:53Z</dcterms:created>
  <dcterms:modified xsi:type="dcterms:W3CDTF">2026-10-30T08:21:53Z</dcterms:modified>
</cp:coreProperties>
</file>

<file path=docProps/custom.xml><?xml version="1.0" encoding="utf-8"?>
<Properties xmlns="http://schemas.openxmlformats.org/officeDocument/2006/custom-properties" xmlns:vt="http://schemas.openxmlformats.org/officeDocument/2006/docPropsVTypes"/>
</file>