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220" w:type="dxa"/>
          <w:left w:w="260" w:type="dxa"/>
          <w:bottom w:w="220" w:type="dxa"/>
          <w:right w:w="260" w:type="dxa"/>
        </w:tblCellMar>
      </w:tblPr>
      <w:tblGrid>
        <w:gridCol w:w="9638"/>
      </w:tblGrid>
      <w:tr>
        <w:tc>
          <w:tcPr>
            <w:tcW w:type="dxa" w:w="9638"/>
            <w:shd w:val="clear" w:color="auto" w:fill="1b4965"/>
          </w:tcPr>
          <w:p>
            <w:r/>
            <w:r>
              <w:rPr>
                <w:b/>
                <w:color w:val="8FB8D3"/>
                <w:sz w:val="17"/>
              </w:rPr>
              <w:t>PYGEOVISION  ·  GEOSPATIAL ANALYSIS REPORT</w:t>
            </w:r>
          </w:p>
          <w:p>
            <w:pPr>
              <w:spacing w:before="200"/>
            </w:pPr>
            <w:r>
              <w:rPr>
                <w:b/>
                <w:color w:val="FFFFFF"/>
                <w:sz w:val="48"/>
              </w:rPr>
              <w:t>Building Footprints</w:t>
            </w:r>
          </w:p>
          <w:p>
            <w:r>
              <w:rPr>
                <w:color w:val="DBE9F3"/>
                <w:sz w:val="22"/>
              </w:rPr>
              <w:t>n/a (published dataset) · 2.8 km²</w:t>
            </w:r>
          </w:p>
        </w:tc>
      </w:tr>
    </w:tbl>
    <w:p>
      <w:pPr>
        <w:spacing w:after="40"/>
      </w:pPr>
    </w:p>
    <w:tbl>
      <w:tblPr>
        <w:tblW w:type="auto" w:w="0"/>
        <w:tblLayout w:type="fixed"/>
        <w:tblLook w:firstColumn="1" w:firstRow="1" w:lastColumn="0" w:lastRow="0" w:noHBand="0" w:noVBand="1" w:val="04A0"/>
        <w:tblCellMar>
          <w:top w:w="90" w:type="dxa"/>
          <w:left w:w="120" w:type="dxa"/>
          <w:bottom w:w="90" w:type="dxa"/>
          <w:right w:w="100" w:type="dxa"/>
        </w:tblCellMar>
      </w:tblPr>
      <w:tblGrid>
        <w:gridCol w:w="2409"/>
        <w:gridCol w:w="2409"/>
        <w:gridCol w:w="2409"/>
        <w:gridCol w:w="2409"/>
      </w:tblGrid>
      <w:tr>
        <w:tc>
          <w:tcPr>
            <w:tcW w:type="dxa" w:w="2409"/>
            <w:shd w:val="clear" w:color="auto" w:fill="e3edf4"/>
            <w:tcBorders>
              <w:left w:val="single" w:sz="18" w:color="1b4965"/>
            </w:tcBorders>
          </w:tcPr>
          <w:p>
            <w:pPr>
              <w:spacing w:after="20"/>
            </w:pPr>
            <w:r/>
            <w:r>
              <w:rPr>
                <w:b/>
                <w:color w:val="1B4965"/>
                <w:sz w:val="30"/>
              </w:rPr>
              <w:t>321</w:t>
            </w:r>
          </w:p>
          <w:p>
            <w:pPr>
              <w:spacing w:after="0"/>
            </w:pPr>
            <w:r>
              <w:rPr>
                <w:color w:val="52606D"/>
                <w:sz w:val="16"/>
              </w:rPr>
              <w:t>Buildings</w:t>
            </w:r>
          </w:p>
        </w:tc>
        <w:tc>
          <w:tcPr>
            <w:tcW w:type="dxa" w:w="2409"/>
            <w:shd w:val="clear" w:color="auto" w:fill="e3edf4"/>
            <w:tcBorders>
              <w:left w:val="single" w:sz="18" w:color="1b4965"/>
            </w:tcBorders>
          </w:tcPr>
          <w:p>
            <w:pPr>
              <w:spacing w:after="20"/>
            </w:pPr>
            <w:r/>
            <w:r>
              <w:rPr>
                <w:b/>
                <w:color w:val="1B4965"/>
                <w:sz w:val="30"/>
              </w:rPr>
              <w:t>9.7 ha</w:t>
            </w:r>
          </w:p>
          <w:p>
            <w:pPr>
              <w:spacing w:after="0"/>
            </w:pPr>
            <w:r>
              <w:rPr>
                <w:color w:val="52606D"/>
                <w:sz w:val="16"/>
              </w:rPr>
              <w:t>Total footprint area</w:t>
            </w:r>
          </w:p>
        </w:tc>
        <w:tc>
          <w:tcPr>
            <w:tcW w:type="dxa" w:w="2409"/>
            <w:shd w:val="clear" w:color="auto" w:fill="e3edf4"/>
            <w:tcBorders>
              <w:left w:val="single" w:sz="18" w:color="1b4965"/>
            </w:tcBorders>
          </w:tcPr>
          <w:p>
            <w:pPr>
              <w:spacing w:after="20"/>
            </w:pPr>
            <w:r/>
            <w:r>
              <w:rPr>
                <w:b/>
                <w:color w:val="1B4965"/>
                <w:sz w:val="30"/>
              </w:rPr>
              <w:t>3.5 %</w:t>
            </w:r>
          </w:p>
          <w:p>
            <w:pPr>
              <w:spacing w:after="0"/>
            </w:pPr>
            <w:r>
              <w:rPr>
                <w:color w:val="52606D"/>
                <w:sz w:val="16"/>
              </w:rPr>
              <w:t>Share of the area covered by buildings</w:t>
            </w:r>
          </w:p>
        </w:tc>
        <w:tc>
          <w:tcPr>
            <w:tcW w:type="dxa" w:w="2409"/>
            <w:shd w:val="clear" w:color="auto" w:fill="e3edf4"/>
            <w:tcBorders>
              <w:left w:val="single" w:sz="18" w:color="1b4965"/>
            </w:tcBorders>
          </w:tcPr>
          <w:p>
            <w:pPr>
              <w:spacing w:after="20"/>
            </w:pPr>
            <w:r/>
            <w:r>
              <w:rPr>
                <w:b/>
                <w:color w:val="1B4965"/>
                <w:sz w:val="30"/>
              </w:rPr>
              <w:t>116.5</w:t>
            </w:r>
          </w:p>
          <w:p>
            <w:pPr>
              <w:spacing w:after="0"/>
            </w:pPr>
            <w:r>
              <w:rPr>
                <w:color w:val="52606D"/>
                <w:sz w:val="16"/>
              </w:rPr>
              <w:t>Buildings per km²</w:t>
            </w:r>
          </w:p>
        </w:tc>
      </w:tr>
    </w:tbl>
    <w:p>
      <w:pPr>
        <w:spacing w:after="40"/>
      </w:pPr>
    </w:p>
    <w:p>
      <w:pPr>
        <w:pStyle w:val="Heading1"/>
      </w:pPr>
      <w:r>
        <w:t>Executive summary</w:t>
      </w:r>
    </w:p>
    <w:p>
      <w:pPr>
        <w:pStyle w:val="ListBullet"/>
      </w:pPr>
      <w:r>
        <w:t>321 buildings from OpenStreetMap fall inside the area, covering 9.7 ha (3.5 % of the area; 116 per km²).</w:t>
      </w:r>
    </w:p>
    <w:p>
      <w:pPr>
        <w:pStyle w:val="ListBullet"/>
      </w:pPr>
      <w:r>
        <w:t>These are the dataset's polygons, not detections on your own imagery.</w:t>
      </w:r>
    </w:p>
    <w:tbl>
      <w:tblPr>
        <w:tblW w:type="auto" w:w="0"/>
        <w:tblLayout w:type="fixed"/>
        <w:tblLook w:firstColumn="1" w:firstRow="1" w:lastColumn="0" w:lastRow="0" w:noHBand="0" w:noVBand="1" w:val="04A0"/>
        <w:tblCellMar>
          <w:top w:w="80" w:type="dxa"/>
          <w:left w:w="160" w:type="dxa"/>
          <w:bottom w:w="80" w:type="dxa"/>
          <w:right w:w="120" w:type="dxa"/>
        </w:tblCellMar>
      </w:tblPr>
      <w:tblGrid>
        <w:gridCol w:w="9638"/>
      </w:tblGrid>
      <w:tr>
        <w:tc>
          <w:tcPr>
            <w:tcW w:type="dxa" w:w="9638"/>
            <w:shd w:val="clear" w:color="auto" w:fill="e3edf4"/>
            <w:tcBorders>
              <w:left w:val="single" w:sz="24" w:color="1b4965"/>
            </w:tcBorders>
          </w:tcPr>
          <w:p>
            <w:pPr>
              <w:spacing w:after="0" w:before="0"/>
              <w:jc w:val="left"/>
            </w:pPr>
            <w:r/>
            <w:r>
              <w:rPr>
                <w:b w:val="0"/>
                <w:color w:val="1F2933"/>
                <w:sz w:val="19"/>
              </w:rPr>
              <w:t>OpenStreetMap: volunteered data. Completeness varies a great deal between places -- good in many towns, thin in rural areas; buildings mapped as multipolygon relations are not included.</w:t>
            </w:r>
          </w:p>
        </w:tc>
      </w:tr>
    </w:tbl>
    <w:p>
      <w:pPr>
        <w:spacing w:after="0"/>
      </w:pPr>
    </w:p>
    <w:p>
      <w:pPr>
        <w:pStyle w:val="Heading1"/>
      </w:pPr>
      <w:r>
        <w:t>Study area and inputs</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Area of interest (west, south, east, north)</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Centre</w:t>
            </w:r>
          </w:p>
        </w:tc>
        <w:tc>
          <w:tcPr>
            <w:tcW w:type="dxa" w:w="6350"/>
            <w:tcBorders>
              <w:bottom w:val="single" w:sz="4" w:color="d5dbe1"/>
            </w:tcBorders>
          </w:tcPr>
          <w:p>
            <w:pPr>
              <w:spacing w:after="0" w:before="0"/>
              <w:jc w:val="left"/>
            </w:pPr>
            <w:r/>
            <w:r>
              <w:rPr>
                <w:b w:val="0"/>
                <w:color w:val="1F2933"/>
                <w:sz w:val="18"/>
              </w:rPr>
              <w:t>-5.1725°, -80.6175°</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2.76 km²</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r>
        <w:trPr>
          <w:cantSplit/>
        </w:trPr>
        <w:tc>
          <w:tcPr>
            <w:tcW w:type="dxa" w:w="3288"/>
            <w:tcBorders>
              <w:bottom w:val="single" w:sz="4" w:color="d5dbe1"/>
            </w:tcBorders>
          </w:tcPr>
          <w:p>
            <w:pPr>
              <w:spacing w:after="0" w:before="0"/>
              <w:jc w:val="left"/>
            </w:pPr>
            <w:r/>
            <w:r>
              <w:rPr>
                <w:b w:val="0"/>
                <w:color w:val="52606D"/>
                <w:sz w:val="17"/>
              </w:rPr>
              <w:t>Output grid</w:t>
            </w:r>
          </w:p>
        </w:tc>
        <w:tc>
          <w:tcPr>
            <w:tcW w:type="dxa" w:w="6350"/>
            <w:tcBorders>
              <w:bottom w:val="single" w:sz="4" w:color="d5dbe1"/>
            </w:tcBorders>
          </w:tcPr>
          <w:p>
            <w:pPr>
              <w:spacing w:after="0" w:before="0"/>
              <w:jc w:val="left"/>
            </w:pPr>
            <w:r/>
            <w:r>
              <w:rPr>
                <w:b w:val="0"/>
                <w:color w:val="1F2933"/>
                <w:sz w:val="18"/>
              </w:rPr>
              <w:t>18 × 17 pixels, EPSG:32717</w:t>
            </w:r>
          </w:p>
        </w:tc>
      </w:tr>
    </w:tbl>
    <w:p>
      <w:pPr>
        <w:spacing w:after="40"/>
      </w:pPr>
    </w:p>
    <w:p>
      <w:pPr>
        <w:pStyle w:val="Heading1"/>
      </w:pPr>
      <w:r>
        <w:t>Results</w:t>
      </w:r>
    </w:p>
    <w:p>
      <w:pPr>
        <w:keepNext/>
        <w:spacing w:after="40"/>
      </w:pPr>
      <w:r>
        <w:drawing>
          <wp:inline xmlns:a="http://schemas.openxmlformats.org/drawingml/2006/main" xmlns:pic="http://schemas.openxmlformats.org/drawingml/2006/picture">
            <wp:extent cx="6120000" cy="4117091"/>
            <wp:docPr id="1" name="Picture 1"/>
            <wp:cNvGraphicFramePr>
              <a:graphicFrameLocks noChangeAspect="1"/>
            </wp:cNvGraphicFramePr>
            <a:graphic>
              <a:graphicData uri="http://schemas.openxmlformats.org/drawingml/2006/picture">
                <pic:pic>
                  <pic:nvPicPr>
                    <pic:cNvPr id="0" name="building_footprints_map.png"/>
                    <pic:cNvPicPr/>
                  </pic:nvPicPr>
                  <pic:blipFill>
                    <a:blip r:embed="rId11"/>
                    <a:stretch>
                      <a:fillRect/>
                    </a:stretch>
                  </pic:blipFill>
                  <pic:spPr>
                    <a:xfrm>
                      <a:off x="0" y="0"/>
                      <a:ext cx="6120000" cy="4117091"/>
                    </a:xfrm>
                    <a:prstGeom prst="rect"/>
                  </pic:spPr>
                </pic:pic>
              </a:graphicData>
            </a:graphic>
          </wp:inline>
        </w:drawing>
      </w:r>
    </w:p>
    <w:p>
      <w:r>
        <w:rPr>
          <w:i/>
          <w:color w:val="52606D"/>
          <w:sz w:val="16"/>
        </w:rPr>
        <w:t>Map: Building Footprints</w:t>
      </w:r>
    </w:p>
    <w:p>
      <w:pPr>
        <w:keepNext/>
        <w:spacing w:after="40"/>
      </w:pPr>
      <w:r>
        <w:drawing>
          <wp:inline xmlns:a="http://schemas.openxmlformats.org/drawingml/2006/main" xmlns:pic="http://schemas.openxmlformats.org/drawingml/2006/picture">
            <wp:extent cx="6120000" cy="2815200"/>
            <wp:docPr id="2" name="Picture 2"/>
            <wp:cNvGraphicFramePr>
              <a:graphicFrameLocks noChangeAspect="1"/>
            </wp:cNvGraphicFramePr>
            <a:graphic>
              <a:graphicData uri="http://schemas.openxmlformats.org/drawingml/2006/picture">
                <pic:pic>
                  <pic:nvPicPr>
                    <pic:cNvPr id="0" name="building_footprints_histogram.png"/>
                    <pic:cNvPicPr/>
                  </pic:nvPicPr>
                  <pic:blipFill>
                    <a:blip r:embed="rId12"/>
                    <a:stretch>
                      <a:fillRect/>
                    </a:stretch>
                  </pic:blipFill>
                  <pic:spPr>
                    <a:xfrm>
                      <a:off x="0" y="0"/>
                      <a:ext cx="6120000" cy="2815200"/>
                    </a:xfrm>
                    <a:prstGeom prst="rect"/>
                  </pic:spPr>
                </pic:pic>
              </a:graphicData>
            </a:graphic>
          </wp:inline>
        </w:drawing>
      </w:r>
    </w:p>
    <w:p>
      <w:r>
        <w:rPr>
          <w:i/>
          <w:color w:val="52606D"/>
          <w:sz w:val="16"/>
        </w:rPr>
        <w:t>Summary chart</w:t>
      </w:r>
    </w:p>
    <w:p>
      <w:pPr>
        <w:keepNext/>
        <w:spacing w:before="120"/>
      </w:pPr>
      <w:r>
        <w:rPr>
          <w:b/>
          <w:sz w:val="20"/>
        </w:rPr>
        <w:t>Key statistics (reported by the pipeline)</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Buildings</w:t>
            </w:r>
          </w:p>
        </w:tc>
        <w:tc>
          <w:tcPr>
            <w:tcW w:type="dxa" w:w="3352"/>
          </w:tcPr>
          <w:p>
            <w:pPr>
              <w:keepNext/>
              <w:spacing w:after="0" w:before="0"/>
              <w:jc w:val="right"/>
            </w:pPr>
            <w:r/>
            <w:r>
              <w:rPr>
                <w:b w:val="0"/>
                <w:color w:val="1F2933"/>
                <w:sz w:val="17"/>
              </w:rPr>
              <w:t>321</w:t>
            </w:r>
          </w:p>
        </w:tc>
      </w:tr>
      <w:tr>
        <w:trPr>
          <w:cantSplit/>
        </w:trPr>
        <w:tc>
          <w:tcPr>
            <w:tcW w:type="dxa" w:w="6286"/>
            <w:shd w:val="clear" w:color="auto" w:fill="f5f7f9"/>
          </w:tcPr>
          <w:p>
            <w:pPr>
              <w:keepNext/>
              <w:spacing w:after="0" w:before="0"/>
              <w:jc w:val="left"/>
            </w:pPr>
            <w:r/>
            <w:r>
              <w:rPr>
                <w:b w:val="0"/>
                <w:color w:val="1F2933"/>
                <w:sz w:val="17"/>
              </w:rPr>
              <w:t>Total footprint area</w:t>
            </w:r>
          </w:p>
        </w:tc>
        <w:tc>
          <w:tcPr>
            <w:tcW w:type="dxa" w:w="3352"/>
            <w:shd w:val="clear" w:color="auto" w:fill="f5f7f9"/>
          </w:tcPr>
          <w:p>
            <w:pPr>
              <w:keepNext/>
              <w:spacing w:after="0" w:before="0"/>
              <w:jc w:val="right"/>
            </w:pPr>
            <w:r/>
            <w:r>
              <w:rPr>
                <w:b w:val="0"/>
                <w:color w:val="1F2933"/>
                <w:sz w:val="17"/>
              </w:rPr>
              <w:t>9.7 ha</w:t>
            </w:r>
          </w:p>
        </w:tc>
      </w:tr>
      <w:tr>
        <w:trPr>
          <w:cantSplit/>
        </w:trPr>
        <w:tc>
          <w:tcPr>
            <w:tcW w:type="dxa" w:w="6286"/>
          </w:tcPr>
          <w:p>
            <w:pPr>
              <w:keepNext/>
              <w:spacing w:after="0" w:before="0"/>
              <w:jc w:val="left"/>
            </w:pPr>
            <w:r/>
            <w:r>
              <w:rPr>
                <w:b w:val="0"/>
                <w:color w:val="1F2933"/>
                <w:sz w:val="17"/>
              </w:rPr>
              <w:t>Share of the area covered by buildings</w:t>
            </w:r>
          </w:p>
        </w:tc>
        <w:tc>
          <w:tcPr>
            <w:tcW w:type="dxa" w:w="3352"/>
          </w:tcPr>
          <w:p>
            <w:pPr>
              <w:keepNext/>
              <w:spacing w:after="0" w:before="0"/>
              <w:jc w:val="right"/>
            </w:pPr>
            <w:r/>
            <w:r>
              <w:rPr>
                <w:b w:val="0"/>
                <w:color w:val="1F2933"/>
                <w:sz w:val="17"/>
              </w:rPr>
              <w:t>3.5 %</w:t>
            </w:r>
          </w:p>
        </w:tc>
      </w:tr>
      <w:tr>
        <w:trPr>
          <w:cantSplit/>
        </w:trPr>
        <w:tc>
          <w:tcPr>
            <w:tcW w:type="dxa" w:w="6286"/>
            <w:shd w:val="clear" w:color="auto" w:fill="f5f7f9"/>
          </w:tcPr>
          <w:p>
            <w:pPr>
              <w:keepNext/>
              <w:spacing w:after="0" w:before="0"/>
              <w:jc w:val="left"/>
            </w:pPr>
            <w:r/>
            <w:r>
              <w:rPr>
                <w:b w:val="0"/>
                <w:color w:val="1F2933"/>
                <w:sz w:val="17"/>
              </w:rPr>
              <w:t>Buildings per km²</w:t>
            </w:r>
          </w:p>
        </w:tc>
        <w:tc>
          <w:tcPr>
            <w:tcW w:type="dxa" w:w="3352"/>
            <w:shd w:val="clear" w:color="auto" w:fill="f5f7f9"/>
          </w:tcPr>
          <w:p>
            <w:pPr>
              <w:keepNext/>
              <w:spacing w:after="0" w:before="0"/>
              <w:jc w:val="right"/>
            </w:pPr>
            <w:r/>
            <w:r>
              <w:rPr>
                <w:b w:val="0"/>
                <w:color w:val="1F2933"/>
                <w:sz w:val="17"/>
              </w:rPr>
              <w:t>116.5</w:t>
            </w:r>
          </w:p>
        </w:tc>
      </w:tr>
      <w:tr>
        <w:trPr>
          <w:cantSplit/>
        </w:trPr>
        <w:tc>
          <w:tcPr>
            <w:tcW w:type="dxa" w:w="6286"/>
          </w:tcPr>
          <w:p>
            <w:pPr>
              <w:keepNext/>
              <w:spacing w:after="0" w:before="0"/>
              <w:jc w:val="left"/>
            </w:pPr>
            <w:r/>
            <w:r>
              <w:rPr>
                <w:b w:val="0"/>
                <w:color w:val="1F2933"/>
                <w:sz w:val="17"/>
              </w:rPr>
              <w:t>Mean footprint (m²)</w:t>
            </w:r>
          </w:p>
        </w:tc>
        <w:tc>
          <w:tcPr>
            <w:tcW w:type="dxa" w:w="3352"/>
          </w:tcPr>
          <w:p>
            <w:pPr>
              <w:keepNext/>
              <w:spacing w:after="0" w:before="0"/>
              <w:jc w:val="right"/>
            </w:pPr>
            <w:r/>
            <w:r>
              <w:rPr>
                <w:b w:val="0"/>
                <w:color w:val="1F2933"/>
                <w:sz w:val="17"/>
              </w:rPr>
              <w:t>301.5</w:t>
            </w:r>
          </w:p>
        </w:tc>
      </w:tr>
      <w:tr>
        <w:trPr>
          <w:cantSplit/>
        </w:trPr>
        <w:tc>
          <w:tcPr>
            <w:tcW w:type="dxa" w:w="6286"/>
            <w:shd w:val="clear" w:color="auto" w:fill="f5f7f9"/>
          </w:tcPr>
          <w:p>
            <w:pPr>
              <w:keepNext/>
              <w:spacing w:after="0" w:before="0"/>
              <w:jc w:val="left"/>
            </w:pPr>
            <w:r/>
            <w:r>
              <w:rPr>
                <w:b w:val="0"/>
                <w:color w:val="1F2933"/>
                <w:sz w:val="17"/>
              </w:rPr>
              <w:t>Median footprint (m²)</w:t>
            </w:r>
          </w:p>
        </w:tc>
        <w:tc>
          <w:tcPr>
            <w:tcW w:type="dxa" w:w="3352"/>
            <w:shd w:val="clear" w:color="auto" w:fill="f5f7f9"/>
          </w:tcPr>
          <w:p>
            <w:pPr>
              <w:keepNext/>
              <w:spacing w:after="0" w:before="0"/>
              <w:jc w:val="right"/>
            </w:pPr>
            <w:r/>
            <w:r>
              <w:rPr>
                <w:b w:val="0"/>
                <w:color w:val="1F2933"/>
                <w:sz w:val="17"/>
              </w:rPr>
              <w:t>177.0</w:t>
            </w:r>
          </w:p>
        </w:tc>
      </w:tr>
      <w:tr>
        <w:trPr>
          <w:cantSplit/>
        </w:trPr>
        <w:tc>
          <w:tcPr>
            <w:tcW w:type="dxa" w:w="6286"/>
          </w:tcPr>
          <w:p>
            <w:pPr>
              <w:keepNext/>
              <w:spacing w:after="0" w:before="0"/>
              <w:jc w:val="left"/>
            </w:pPr>
            <w:r/>
            <w:r>
              <w:rPr>
                <w:b w:val="0"/>
                <w:color w:val="1F2933"/>
                <w:sz w:val="17"/>
              </w:rPr>
              <w:t>Highest cell coverage</w:t>
            </w:r>
          </w:p>
        </w:tc>
        <w:tc>
          <w:tcPr>
            <w:tcW w:type="dxa" w:w="3352"/>
          </w:tcPr>
          <w:p>
            <w:pPr>
              <w:keepNext/>
              <w:spacing w:after="0" w:before="0"/>
              <w:jc w:val="right"/>
            </w:pPr>
            <w:r/>
            <w:r>
              <w:rPr>
                <w:b w:val="0"/>
                <w:color w:val="1F2933"/>
                <w:sz w:val="17"/>
              </w:rPr>
              <w:t>47.3 %</w:t>
            </w:r>
          </w:p>
        </w:tc>
      </w:tr>
      <w:tr>
        <w:trPr>
          <w:cantSplit/>
        </w:trPr>
        <w:tc>
          <w:tcPr>
            <w:tcW w:type="dxa" w:w="6286"/>
            <w:shd w:val="clear" w:color="auto" w:fill="f5f7f9"/>
          </w:tcPr>
          <w:p>
            <w:pPr>
              <w:keepNext/>
              <w:spacing w:after="0" w:before="0"/>
              <w:jc w:val="left"/>
            </w:pPr>
            <w:r/>
            <w:r>
              <w:rPr>
                <w:b w:val="0"/>
                <w:color w:val="1F2933"/>
                <w:sz w:val="17"/>
              </w:rPr>
              <w:t>Area (km²)</w:t>
            </w:r>
          </w:p>
        </w:tc>
        <w:tc>
          <w:tcPr>
            <w:tcW w:type="dxa" w:w="3352"/>
            <w:shd w:val="clear" w:color="auto" w:fill="f5f7f9"/>
          </w:tcPr>
          <w:p>
            <w:pPr>
              <w:keepNext/>
              <w:spacing w:after="0" w:before="0"/>
              <w:jc w:val="right"/>
            </w:pPr>
            <w:r/>
            <w:r>
              <w:rPr>
                <w:b w:val="0"/>
                <w:color w:val="1F2933"/>
                <w:sz w:val="17"/>
              </w:rPr>
              <w:t>2.76</w:t>
            </w:r>
          </w:p>
        </w:tc>
      </w:tr>
    </w:tbl>
    <w:p>
      <w:pPr>
        <w:spacing w:after="40"/>
      </w:pPr>
    </w:p>
    <w:p>
      <w:pPr>
        <w:keepNext/>
        <w:spacing w:before="120"/>
      </w:pPr>
      <w:r>
        <w:rPr>
          <w:b/>
          <w:sz w:val="20"/>
        </w:rPr>
        <w:t>Other statistics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Source</w:t>
            </w:r>
          </w:p>
        </w:tc>
        <w:tc>
          <w:tcPr>
            <w:tcW w:type="dxa" w:w="3352"/>
          </w:tcPr>
          <w:p>
            <w:pPr>
              <w:keepNext/>
              <w:spacing w:after="0" w:before="0"/>
              <w:jc w:val="right"/>
            </w:pPr>
            <w:r/>
            <w:r>
              <w:rPr>
                <w:b w:val="0"/>
                <w:color w:val="1F2933"/>
                <w:sz w:val="17"/>
              </w:rPr>
              <w:t>osm</w:t>
            </w:r>
          </w:p>
        </w:tc>
      </w:tr>
      <w:tr>
        <w:trPr>
          <w:cantSplit/>
        </w:trPr>
        <w:tc>
          <w:tcPr>
            <w:tcW w:type="dxa" w:w="6286"/>
            <w:shd w:val="clear" w:color="auto" w:fill="f5f7f9"/>
          </w:tcPr>
          <w:p>
            <w:pPr>
              <w:keepNext/>
              <w:spacing w:after="0" w:before="0"/>
              <w:jc w:val="left"/>
            </w:pPr>
            <w:r/>
            <w:r>
              <w:rPr>
                <w:b w:val="0"/>
                <w:color w:val="1F2933"/>
                <w:sz w:val="17"/>
              </w:rPr>
              <w:t>Cell m</w:t>
            </w:r>
          </w:p>
        </w:tc>
        <w:tc>
          <w:tcPr>
            <w:tcW w:type="dxa" w:w="3352"/>
            <w:shd w:val="clear" w:color="auto" w:fill="f5f7f9"/>
          </w:tcPr>
          <w:p>
            <w:pPr>
              <w:keepNext/>
              <w:spacing w:after="0" w:before="0"/>
              <w:jc w:val="right"/>
            </w:pPr>
            <w:r/>
            <w:r>
              <w:rPr>
                <w:b w:val="0"/>
                <w:color w:val="1F2933"/>
                <w:sz w:val="17"/>
              </w:rPr>
              <w:t>100</w:t>
            </w:r>
          </w:p>
        </w:tc>
      </w:tr>
      <w:tr>
        <w:trPr>
          <w:cantSplit/>
        </w:trPr>
        <w:tc>
          <w:tcPr>
            <w:tcW w:type="dxa" w:w="6286"/>
          </w:tcPr>
          <w:p>
            <w:pPr>
              <w:keepNext/>
              <w:spacing w:after="0" w:before="0"/>
              <w:jc w:val="left"/>
            </w:pPr>
            <w:r/>
            <w:r>
              <w:rPr>
                <w:b w:val="0"/>
                <w:color w:val="1F2933"/>
                <w:sz w:val="17"/>
              </w:rPr>
              <w:t>Footprints file</w:t>
            </w:r>
          </w:p>
        </w:tc>
        <w:tc>
          <w:tcPr>
            <w:tcW w:type="dxa" w:w="3352"/>
          </w:tcPr>
          <w:p>
            <w:pPr>
              <w:keepNext/>
              <w:spacing w:after="0" w:before="0"/>
              <w:jc w:val="right"/>
            </w:pPr>
            <w:r/>
            <w:r>
              <w:rPr>
                <w:b w:val="0"/>
                <w:color w:val="1F2933"/>
                <w:sz w:val="17"/>
              </w:rPr>
              <w:t>piura_out/footprints_osm/building_footprints.gpkg</w:t>
            </w:r>
          </w:p>
        </w:tc>
      </w:tr>
    </w:tbl>
    <w:p>
      <w:pPr>
        <w:spacing w:after="40"/>
      </w:pPr>
    </w:p>
    <w:p>
      <w:pPr>
        <w:keepNext/>
        <w:spacing w:before="120"/>
      </w:pPr>
      <w:r>
        <w:rPr>
          <w:b/>
          <w:sz w:val="20"/>
        </w:rPr>
        <w:t>Value statistics: Share of each cell covered by buildings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(share of cell)</w:t>
            </w:r>
          </w:p>
        </w:tc>
        <w:tc>
          <w:tcPr>
            <w:tcW w:type="dxa" w:w="3213"/>
          </w:tcPr>
          <w:p>
            <w:pPr>
              <w:keepNext/>
              <w:spacing w:after="0" w:before="0"/>
              <w:jc w:val="right"/>
            </w:pPr>
            <w:r/>
            <w:r>
              <w:rPr>
                <w:b w:val="0"/>
                <w:color w:val="1F2933"/>
                <w:sz w:val="17"/>
              </w:rPr>
              <w:t>0.034</w:t>
            </w:r>
          </w:p>
        </w:tc>
      </w:tr>
      <w:tr>
        <w:trPr>
          <w:cantSplit/>
        </w:trPr>
        <w:tc>
          <w:tcPr>
            <w:tcW w:type="dxa" w:w="6425"/>
            <w:shd w:val="clear" w:color="auto" w:fill="f5f7f9"/>
          </w:tcPr>
          <w:p>
            <w:pPr>
              <w:keepNext/>
              <w:spacing w:after="0" w:before="0"/>
              <w:jc w:val="left"/>
            </w:pPr>
            <w:r/>
            <w:r>
              <w:rPr>
                <w:b w:val="0"/>
                <w:color w:val="1F2933"/>
                <w:sz w:val="17"/>
              </w:rPr>
              <w:t>75th percentile (share of cell)</w:t>
            </w:r>
          </w:p>
        </w:tc>
        <w:tc>
          <w:tcPr>
            <w:tcW w:type="dxa" w:w="3213"/>
            <w:shd w:val="clear" w:color="auto" w:fill="f5f7f9"/>
          </w:tcPr>
          <w:p>
            <w:pPr>
              <w:keepNext/>
              <w:spacing w:after="0" w:before="0"/>
              <w:jc w:val="right"/>
            </w:pPr>
            <w:r/>
            <w:r>
              <w:rPr>
                <w:b w:val="0"/>
                <w:color w:val="1F2933"/>
                <w:sz w:val="17"/>
              </w:rPr>
              <w:t>0.028</w:t>
            </w:r>
          </w:p>
        </w:tc>
      </w:tr>
      <w:tr>
        <w:trPr>
          <w:cantSplit/>
        </w:trPr>
        <w:tc>
          <w:tcPr>
            <w:tcW w:type="dxa" w:w="6425"/>
          </w:tcPr>
          <w:p>
            <w:pPr>
              <w:keepNext/>
              <w:spacing w:after="0" w:before="0"/>
              <w:jc w:val="left"/>
            </w:pPr>
            <w:r/>
            <w:r>
              <w:rPr>
                <w:b w:val="0"/>
                <w:color w:val="1F2933"/>
                <w:sz w:val="17"/>
              </w:rPr>
              <w:t>95th percentile (share of cell)</w:t>
            </w:r>
          </w:p>
        </w:tc>
        <w:tc>
          <w:tcPr>
            <w:tcW w:type="dxa" w:w="3213"/>
          </w:tcPr>
          <w:p>
            <w:pPr>
              <w:keepNext/>
              <w:spacing w:after="0" w:before="0"/>
              <w:jc w:val="right"/>
            </w:pPr>
            <w:r/>
            <w:r>
              <w:rPr>
                <w:b w:val="0"/>
                <w:color w:val="1F2933"/>
                <w:sz w:val="17"/>
              </w:rPr>
              <w:t>0.193</w:t>
            </w:r>
          </w:p>
        </w:tc>
      </w:tr>
      <w:tr>
        <w:trPr>
          <w:cantSplit/>
        </w:trPr>
        <w:tc>
          <w:tcPr>
            <w:tcW w:type="dxa" w:w="6425"/>
            <w:shd w:val="clear" w:color="auto" w:fill="f5f7f9"/>
          </w:tcPr>
          <w:p>
            <w:pPr>
              <w:keepNext/>
              <w:spacing w:after="0" w:before="0"/>
              <w:jc w:val="left"/>
            </w:pPr>
            <w:r/>
            <w:r>
              <w:rPr>
                <w:b w:val="0"/>
                <w:color w:val="1F2933"/>
                <w:sz w:val="17"/>
              </w:rPr>
              <w:t>Maximum (share of cell)</w:t>
            </w:r>
          </w:p>
        </w:tc>
        <w:tc>
          <w:tcPr>
            <w:tcW w:type="dxa" w:w="3213"/>
            <w:shd w:val="clear" w:color="auto" w:fill="f5f7f9"/>
          </w:tcPr>
          <w:p>
            <w:pPr>
              <w:keepNext/>
              <w:spacing w:after="0" w:before="0"/>
              <w:jc w:val="right"/>
            </w:pPr>
            <w:r/>
            <w:r>
              <w:rPr>
                <w:b w:val="0"/>
                <w:color w:val="1F2933"/>
                <w:sz w:val="17"/>
              </w:rPr>
              <w:t>0.473</w:t>
            </w:r>
          </w:p>
        </w:tc>
      </w:tr>
      <w:tr>
        <w:trPr>
          <w:cantSplit/>
        </w:trPr>
        <w:tc>
          <w:tcPr>
            <w:tcW w:type="dxa" w:w="6425"/>
          </w:tcPr>
          <w:p>
            <w:pPr>
              <w:keepNext/>
              <w:spacing w:after="0" w:before="0"/>
              <w:jc w:val="left"/>
            </w:pPr>
            <w:r/>
            <w:r>
              <w:rPr>
                <w:b w:val="0"/>
                <w:color w:val="1F2933"/>
                <w:sz w:val="17"/>
              </w:rPr>
              <w:t>Standard deviation (share of cell)</w:t>
            </w:r>
          </w:p>
        </w:tc>
        <w:tc>
          <w:tcPr>
            <w:tcW w:type="dxa" w:w="3213"/>
          </w:tcPr>
          <w:p>
            <w:pPr>
              <w:keepNext/>
              <w:spacing w:after="0" w:before="0"/>
              <w:jc w:val="right"/>
            </w:pPr>
            <w:r/>
            <w:r>
              <w:rPr>
                <w:b w:val="0"/>
                <w:color w:val="1F2933"/>
                <w:sz w:val="17"/>
              </w:rPr>
              <w:t>0.077</w:t>
            </w:r>
          </w:p>
        </w:tc>
      </w:tr>
    </w:tbl>
    <w:p>
      <w:r>
        <w:rPr>
          <w:i/>
          <w:color w:val="52606D"/>
          <w:sz w:val="16"/>
        </w:rPr>
        <w:t>Over 272 valid pixels.</w:t>
      </w:r>
    </w:p>
    <w:p>
      <w:pPr>
        <w:keepNext/>
        <w:spacing w:before="120"/>
      </w:pPr>
      <w:r>
        <w:rPr>
          <w:b/>
          <w:sz w:val="20"/>
        </w:rPr>
        <w:t>Value statistics: Buildings per cell</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(buildings)</w:t>
            </w:r>
          </w:p>
        </w:tc>
        <w:tc>
          <w:tcPr>
            <w:tcW w:type="dxa" w:w="3213"/>
          </w:tcPr>
          <w:p>
            <w:pPr>
              <w:keepNext/>
              <w:spacing w:after="0" w:before="0"/>
              <w:jc w:val="right"/>
            </w:pPr>
            <w:r/>
            <w:r>
              <w:rPr>
                <w:b w:val="0"/>
                <w:color w:val="1F2933"/>
                <w:sz w:val="17"/>
              </w:rPr>
              <w:t>1.099</w:t>
            </w:r>
          </w:p>
        </w:tc>
      </w:tr>
      <w:tr>
        <w:trPr>
          <w:cantSplit/>
        </w:trPr>
        <w:tc>
          <w:tcPr>
            <w:tcW w:type="dxa" w:w="6425"/>
            <w:shd w:val="clear" w:color="auto" w:fill="f5f7f9"/>
          </w:tcPr>
          <w:p>
            <w:pPr>
              <w:keepNext/>
              <w:spacing w:after="0" w:before="0"/>
              <w:jc w:val="left"/>
            </w:pPr>
            <w:r/>
            <w:r>
              <w:rPr>
                <w:b w:val="0"/>
                <w:color w:val="1F2933"/>
                <w:sz w:val="17"/>
              </w:rPr>
              <w:t>75th percentile (buildings)</w:t>
            </w:r>
          </w:p>
        </w:tc>
        <w:tc>
          <w:tcPr>
            <w:tcW w:type="dxa" w:w="3213"/>
            <w:shd w:val="clear" w:color="auto" w:fill="f5f7f9"/>
          </w:tcPr>
          <w:p>
            <w:pPr>
              <w:keepNext/>
              <w:spacing w:after="0" w:before="0"/>
              <w:jc w:val="right"/>
            </w:pPr>
            <w:r/>
            <w:r>
              <w:rPr>
                <w:b w:val="0"/>
                <w:color w:val="1F2933"/>
                <w:sz w:val="17"/>
              </w:rPr>
              <w:t>1.000</w:t>
            </w:r>
          </w:p>
        </w:tc>
      </w:tr>
      <w:tr>
        <w:trPr>
          <w:cantSplit/>
        </w:trPr>
        <w:tc>
          <w:tcPr>
            <w:tcW w:type="dxa" w:w="6425"/>
          </w:tcPr>
          <w:p>
            <w:pPr>
              <w:keepNext/>
              <w:spacing w:after="0" w:before="0"/>
              <w:jc w:val="left"/>
            </w:pPr>
            <w:r/>
            <w:r>
              <w:rPr>
                <w:b w:val="0"/>
                <w:color w:val="1F2933"/>
                <w:sz w:val="17"/>
              </w:rPr>
              <w:t>95th percentile (buildings)</w:t>
            </w:r>
          </w:p>
        </w:tc>
        <w:tc>
          <w:tcPr>
            <w:tcW w:type="dxa" w:w="3213"/>
          </w:tcPr>
          <w:p>
            <w:pPr>
              <w:keepNext/>
              <w:spacing w:after="0" w:before="0"/>
              <w:jc w:val="right"/>
            </w:pPr>
            <w:r/>
            <w:r>
              <w:rPr>
                <w:b w:val="0"/>
                <w:color w:val="1F2933"/>
                <w:sz w:val="17"/>
              </w:rPr>
              <w:t>6.000</w:t>
            </w:r>
          </w:p>
        </w:tc>
      </w:tr>
      <w:tr>
        <w:trPr>
          <w:cantSplit/>
        </w:trPr>
        <w:tc>
          <w:tcPr>
            <w:tcW w:type="dxa" w:w="6425"/>
            <w:shd w:val="clear" w:color="auto" w:fill="f5f7f9"/>
          </w:tcPr>
          <w:p>
            <w:pPr>
              <w:keepNext/>
              <w:spacing w:after="0" w:before="0"/>
              <w:jc w:val="left"/>
            </w:pPr>
            <w:r/>
            <w:r>
              <w:rPr>
                <w:b w:val="0"/>
                <w:color w:val="1F2933"/>
                <w:sz w:val="17"/>
              </w:rPr>
              <w:t>Maximum (buildings)</w:t>
            </w:r>
          </w:p>
        </w:tc>
        <w:tc>
          <w:tcPr>
            <w:tcW w:type="dxa" w:w="3213"/>
            <w:shd w:val="clear" w:color="auto" w:fill="f5f7f9"/>
          </w:tcPr>
          <w:p>
            <w:pPr>
              <w:keepNext/>
              <w:spacing w:after="0" w:before="0"/>
              <w:jc w:val="right"/>
            </w:pPr>
            <w:r/>
            <w:r>
              <w:rPr>
                <w:b w:val="0"/>
                <w:color w:val="1F2933"/>
                <w:sz w:val="17"/>
              </w:rPr>
              <w:t>12.000</w:t>
            </w:r>
          </w:p>
        </w:tc>
      </w:tr>
      <w:tr>
        <w:trPr>
          <w:cantSplit/>
        </w:trPr>
        <w:tc>
          <w:tcPr>
            <w:tcW w:type="dxa" w:w="6425"/>
          </w:tcPr>
          <w:p>
            <w:pPr>
              <w:keepNext/>
              <w:spacing w:after="0" w:before="0"/>
              <w:jc w:val="left"/>
            </w:pPr>
            <w:r/>
            <w:r>
              <w:rPr>
                <w:b w:val="0"/>
                <w:color w:val="1F2933"/>
                <w:sz w:val="17"/>
              </w:rPr>
              <w:t>Standard deviation (buildings)</w:t>
            </w:r>
          </w:p>
        </w:tc>
        <w:tc>
          <w:tcPr>
            <w:tcW w:type="dxa" w:w="3213"/>
          </w:tcPr>
          <w:p>
            <w:pPr>
              <w:keepNext/>
              <w:spacing w:after="0" w:before="0"/>
              <w:jc w:val="right"/>
            </w:pPr>
            <w:r/>
            <w:r>
              <w:rPr>
                <w:b w:val="0"/>
                <w:color w:val="1F2933"/>
                <w:sz w:val="17"/>
              </w:rPr>
              <w:t>2.170</w:t>
            </w:r>
          </w:p>
        </w:tc>
      </w:tr>
    </w:tbl>
    <w:p>
      <w:r>
        <w:rPr>
          <w:i/>
          <w:color w:val="52606D"/>
          <w:sz w:val="16"/>
        </w:rPr>
        <w:t>Over 272 valid pixels.</w:t>
      </w:r>
    </w:p>
    <w:p>
      <w:r>
        <w:br w:type="page"/>
      </w:r>
    </w:p>
    <w:p>
      <w:pPr>
        <w:pStyle w:val="Heading1"/>
      </w:pPr>
      <w:r>
        <w:t>Additional layers</w:t>
      </w:r>
    </w:p>
    <w:p>
      <w:pPr>
        <w:keepNext/>
        <w:spacing w:after="40"/>
      </w:pPr>
      <w:r>
        <w:drawing>
          <wp:inline xmlns:a="http://schemas.openxmlformats.org/drawingml/2006/main" xmlns:pic="http://schemas.openxmlformats.org/drawingml/2006/picture">
            <wp:extent cx="6120000" cy="4117091"/>
            <wp:docPr id="3" name="Picture 3"/>
            <wp:cNvGraphicFramePr>
              <a:graphicFrameLocks noChangeAspect="1"/>
            </wp:cNvGraphicFramePr>
            <a:graphic>
              <a:graphicData uri="http://schemas.openxmlformats.org/drawingml/2006/picture">
                <pic:pic>
                  <pic:nvPicPr>
                    <pic:cNvPr id="0" name="building_footprints_map_count.png"/>
                    <pic:cNvPicPr/>
                  </pic:nvPicPr>
                  <pic:blipFill>
                    <a:blip r:embed="rId13"/>
                    <a:stretch>
                      <a:fillRect/>
                    </a:stretch>
                  </pic:blipFill>
                  <pic:spPr>
                    <a:xfrm>
                      <a:off x="0" y="0"/>
                      <a:ext cx="6120000" cy="4117091"/>
                    </a:xfrm>
                    <a:prstGeom prst="rect"/>
                  </pic:spPr>
                </pic:pic>
              </a:graphicData>
            </a:graphic>
          </wp:inline>
        </w:drawing>
      </w:r>
    </w:p>
    <w:p>
      <w:r>
        <w:rPr>
          <w:i/>
          <w:color w:val="52606D"/>
          <w:sz w:val="16"/>
        </w:rPr>
        <w:t>Map: Buildings per cell</w:t>
      </w:r>
    </w:p>
    <w:p>
      <w:pPr>
        <w:pStyle w:val="Heading1"/>
      </w:pPr>
      <w:r>
        <w:t>Method and parameters</w:t>
      </w:r>
    </w:p>
    <w:p>
      <w:r>
        <w:t>Where are the buildings in the area, how many, and how much ground do they cover?</w:t>
      </w:r>
    </w:p>
    <w:p>
      <w:r>
        <w:t>Published footprints (default): the polygons of Microsoft's Global ML Building Footprints, Google's Open Buildings v3 or OpenStreetMap are read for the box, clipped to it and measured in the local UTM zone. Nothing is detected on your imagery.</w:t>
      </w:r>
    </w:p>
    <w:p>
      <w:r>
        <w:t>building_density.tif is the share of each cell covered by building area (a building counts in the cell holding its centroid); building_count.tif counts buildings per cell.</w:t>
      </w:r>
    </w:p>
    <w:p>
      <w:r>
        <w:t>With a checkpoint the pipeline instead runs a segmentation network you trained (class 1 = building) and writes building_mask.tif.</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Pipeline</w:t>
            </w:r>
          </w:p>
        </w:tc>
        <w:tc>
          <w:tcPr>
            <w:tcW w:type="dxa" w:w="6350"/>
            <w:tcBorders>
              <w:bottom w:val="single" w:sz="4" w:color="d5dbe1"/>
            </w:tcBorders>
          </w:tcPr>
          <w:p>
            <w:pPr>
              <w:spacing w:after="0" w:before="0"/>
              <w:jc w:val="left"/>
            </w:pPr>
            <w:r/>
            <w:r>
              <w:rPr>
                <w:b w:val="0"/>
                <w:color w:val="1F2933"/>
                <w:sz w:val="18"/>
              </w:rPr>
              <w:t>building_footprints</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cell_m</w:t>
            </w:r>
          </w:p>
        </w:tc>
        <w:tc>
          <w:tcPr>
            <w:tcW w:type="dxa" w:w="6350"/>
            <w:tcBorders>
              <w:bottom w:val="single" w:sz="4" w:color="d5dbe1"/>
            </w:tcBorders>
          </w:tcPr>
          <w:p>
            <w:pPr>
              <w:spacing w:after="0" w:before="0"/>
              <w:jc w:val="left"/>
            </w:pPr>
            <w:r/>
            <w:r>
              <w:rPr>
                <w:b w:val="0"/>
                <w:color w:val="1F2933"/>
                <w:sz w:val="18"/>
              </w:rPr>
              <w:t>100</w:t>
            </w:r>
          </w:p>
        </w:tc>
      </w:tr>
      <w:tr>
        <w:trPr>
          <w:cantSplit/>
        </w:trPr>
        <w:tc>
          <w:tcPr>
            <w:tcW w:type="dxa" w:w="3288"/>
            <w:tcBorders>
              <w:bottom w:val="single" w:sz="4" w:color="d5dbe1"/>
            </w:tcBorders>
          </w:tcPr>
          <w:p>
            <w:pPr>
              <w:spacing w:after="0" w:before="0"/>
              <w:jc w:val="left"/>
            </w:pPr>
            <w:r/>
            <w:r>
              <w:rPr>
                <w:b w:val="0"/>
                <w:color w:val="52606D"/>
                <w:sz w:val="17"/>
              </w:rPr>
              <w:t>source</w:t>
            </w:r>
          </w:p>
        </w:tc>
        <w:tc>
          <w:tcPr>
            <w:tcW w:type="dxa" w:w="6350"/>
            <w:tcBorders>
              <w:bottom w:val="single" w:sz="4" w:color="d5dbe1"/>
            </w:tcBorders>
          </w:tcPr>
          <w:p>
            <w:pPr>
              <w:spacing w:after="0" w:before="0"/>
              <w:jc w:val="left"/>
            </w:pPr>
            <w:r/>
            <w:r>
              <w:rPr>
                <w:b w:val="0"/>
                <w:color w:val="1F2933"/>
                <w:sz w:val="18"/>
              </w:rPr>
              <w:t>osm</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bl>
    <w:p>
      <w:pPr>
        <w:spacing w:after="40"/>
      </w:pPr>
    </w:p>
    <w:p>
      <w:pPr>
        <w:pStyle w:val="Heading1"/>
      </w:pPr>
      <w:r>
        <w:t>Interpretation and limitations</w:t>
      </w:r>
    </w:p>
    <w:p>
      <w:r>
        <w:t>How to read the result</w:t>
      </w:r>
    </w:p>
    <w:p>
      <w:pPr>
        <w:pStyle w:val="ListBullet"/>
      </w:pPr>
      <w:r>
        <w:t>Dataset footprints differ in date: a recent building may be missing and a demolished one still present.</w:t>
      </w:r>
    </w:p>
    <w:p>
      <w:r>
        <w:t>Limitations</w:t>
      </w:r>
    </w:p>
    <w:p>
      <w:pPr>
        <w:pStyle w:val="ListBullet"/>
      </w:pPr>
      <w:r>
        <w:t>Published footprints are only as complete, accurate and current as their source; compare the three sources if it matters.</w:t>
      </w:r>
    </w:p>
    <w:p>
      <w:pPr>
        <w:pStyle w:val="ListBullet"/>
      </w:pPr>
      <w:r>
        <w:t>A building_mask.tif result (only when you pass a checkpoint) is the output of a network you trained and has not been checked against reference data; at 10 m individual houses are not resolvable.</w:t>
      </w:r>
    </w:p>
    <w:p>
      <w:pPr>
        <w:pStyle w:val="Heading1"/>
      </w:pPr>
      <w:r>
        <w:t>Deliverables</w:t>
      </w:r>
    </w:p>
    <w:p>
      <w:pPr>
        <w:keepNext/>
        <w:spacing w:before="120"/>
      </w:pPr>
      <w:r>
        <w:rPr>
          <w:b/>
          <w:sz w:val="20"/>
        </w:rPr>
        <w:t>Files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4306"/>
        <w:gridCol w:w="2051"/>
        <w:gridCol w:w="3281"/>
      </w:tblGrid>
      <w:tr>
        <w:trPr>
          <w:tblHeader w:val="true"/>
        </w:trPr>
        <w:tc>
          <w:tcPr>
            <w:tcW w:type="dxa" w:w="4306"/>
            <w:shd w:val="clear" w:color="auto" w:fill="1b4965"/>
          </w:tcPr>
          <w:p>
            <w:pPr>
              <w:keepNext/>
              <w:spacing w:after="0" w:before="0"/>
              <w:jc w:val="left"/>
            </w:pPr>
            <w:r/>
            <w:r>
              <w:rPr>
                <w:b/>
                <w:color w:val="FFFFFF"/>
                <w:sz w:val="17"/>
              </w:rPr>
              <w:t>File</w:t>
            </w:r>
          </w:p>
        </w:tc>
        <w:tc>
          <w:tcPr>
            <w:tcW w:type="dxa" w:w="2051"/>
            <w:shd w:val="clear" w:color="auto" w:fill="1b4965"/>
          </w:tcPr>
          <w:p>
            <w:pPr>
              <w:keepNext/>
              <w:spacing w:after="0" w:before="0"/>
              <w:jc w:val="left"/>
            </w:pPr>
            <w:r/>
            <w:r>
              <w:rPr>
                <w:b/>
                <w:color w:val="FFFFFF"/>
                <w:sz w:val="17"/>
              </w:rPr>
              <w:t>Type</w:t>
            </w:r>
          </w:p>
        </w:tc>
        <w:tc>
          <w:tcPr>
            <w:tcW w:type="dxa" w:w="3281"/>
            <w:shd w:val="clear" w:color="auto" w:fill="1b4965"/>
          </w:tcPr>
          <w:p>
            <w:pPr>
              <w:keepNext/>
              <w:spacing w:after="0" w:before="0"/>
              <w:jc w:val="left"/>
            </w:pPr>
            <w:r/>
            <w:r>
              <w:rPr>
                <w:b/>
                <w:color w:val="FFFFFF"/>
                <w:sz w:val="17"/>
              </w:rPr>
              <w:t>Contents</w:t>
            </w:r>
          </w:p>
        </w:tc>
      </w:tr>
      <w:tr>
        <w:trPr>
          <w:cantSplit/>
        </w:trPr>
        <w:tc>
          <w:tcPr>
            <w:tcW w:type="dxa" w:w="4306"/>
          </w:tcPr>
          <w:p>
            <w:pPr>
              <w:keepNext/>
              <w:spacing w:after="0" w:before="0"/>
              <w:jc w:val="left"/>
            </w:pPr>
            <w:r/>
            <w:r>
              <w:rPr>
                <w:b w:val="0"/>
                <w:color w:val="1F2933"/>
                <w:sz w:val="17"/>
              </w:rPr>
              <w:t>piura_out/footprints_osm/building_density.tif</w:t>
            </w:r>
          </w:p>
        </w:tc>
        <w:tc>
          <w:tcPr>
            <w:tcW w:type="dxa" w:w="2051"/>
          </w:tcPr>
          <w:p>
            <w:pPr>
              <w:keepNext/>
              <w:spacing w:after="0" w:before="0"/>
              <w:jc w:val="left"/>
            </w:pPr>
            <w:r/>
            <w:r>
              <w:rPr>
                <w:b w:val="0"/>
                <w:color w:val="1F2933"/>
                <w:sz w:val="17"/>
              </w:rPr>
              <w:t>GeoTIFF raster</w:t>
            </w:r>
          </w:p>
        </w:tc>
        <w:tc>
          <w:tcPr>
            <w:tcW w:type="dxa" w:w="3281"/>
          </w:tcPr>
          <w:p>
            <w:pPr>
              <w:keepNext/>
              <w:spacing w:after="0" w:before="0"/>
              <w:jc w:val="left"/>
            </w:pPr>
            <w:r/>
            <w:r>
              <w:rPr>
                <w:b w:val="0"/>
                <w:color w:val="1F2933"/>
                <w:sz w:val="17"/>
              </w:rPr>
              <w:t>Share of each cell covered by buildings</w:t>
            </w:r>
          </w:p>
        </w:tc>
      </w:tr>
      <w:tr>
        <w:trPr>
          <w:cantSplit/>
        </w:trPr>
        <w:tc>
          <w:tcPr>
            <w:tcW w:type="dxa" w:w="4306"/>
            <w:shd w:val="clear" w:color="auto" w:fill="f5f7f9"/>
          </w:tcPr>
          <w:p>
            <w:pPr>
              <w:keepNext/>
              <w:spacing w:after="0" w:before="0"/>
              <w:jc w:val="left"/>
            </w:pPr>
            <w:r/>
            <w:r>
              <w:rPr>
                <w:b w:val="0"/>
                <w:color w:val="1F2933"/>
                <w:sz w:val="17"/>
              </w:rPr>
              <w:t>piura_out/footprints_osm/building_count.tif</w:t>
            </w:r>
          </w:p>
        </w:tc>
        <w:tc>
          <w:tcPr>
            <w:tcW w:type="dxa" w:w="2051"/>
            <w:shd w:val="clear" w:color="auto" w:fill="f5f7f9"/>
          </w:tcPr>
          <w:p>
            <w:pPr>
              <w:keepNext/>
              <w:spacing w:after="0" w:before="0"/>
              <w:jc w:val="left"/>
            </w:pPr>
            <w:r/>
            <w:r>
              <w:rPr>
                <w:b w:val="0"/>
                <w:color w:val="1F2933"/>
                <w:sz w:val="17"/>
              </w:rPr>
              <w:t>GeoTIFF raster</w:t>
            </w:r>
          </w:p>
        </w:tc>
        <w:tc>
          <w:tcPr>
            <w:tcW w:type="dxa" w:w="3281"/>
            <w:shd w:val="clear" w:color="auto" w:fill="f5f7f9"/>
          </w:tcPr>
          <w:p>
            <w:pPr>
              <w:keepNext/>
              <w:spacing w:after="0" w:before="0"/>
              <w:jc w:val="left"/>
            </w:pPr>
            <w:r/>
            <w:r>
              <w:rPr>
                <w:b w:val="0"/>
                <w:color w:val="1F2933"/>
                <w:sz w:val="17"/>
              </w:rPr>
              <w:t>Buildings per cell</w:t>
            </w:r>
          </w:p>
        </w:tc>
      </w:tr>
      <w:tr>
        <w:trPr>
          <w:cantSplit/>
        </w:trPr>
        <w:tc>
          <w:tcPr>
            <w:tcW w:type="dxa" w:w="4306"/>
          </w:tcPr>
          <w:p>
            <w:pPr>
              <w:keepNext/>
              <w:spacing w:after="0" w:before="0"/>
              <w:jc w:val="left"/>
            </w:pPr>
            <w:r/>
            <w:r>
              <w:rPr>
                <w:b w:val="0"/>
                <w:color w:val="1F2933"/>
                <w:sz w:val="17"/>
              </w:rPr>
              <w:t>piura_out/footprints_osm/deliverables/building_footprints_report.pdf</w:t>
            </w:r>
          </w:p>
        </w:tc>
        <w:tc>
          <w:tcPr>
            <w:tcW w:type="dxa" w:w="2051"/>
          </w:tcPr>
          <w:p>
            <w:pPr>
              <w:keepNext/>
              <w:spacing w:after="0" w:before="0"/>
              <w:jc w:val="left"/>
            </w:pPr>
            <w:r/>
            <w:r>
              <w:rPr>
                <w:b w:val="0"/>
                <w:color w:val="1F2933"/>
                <w:sz w:val="17"/>
              </w:rPr>
              <w:t>PDF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piura_out/footprints_osm/deliverables/building_footprints_report.xlsx</w:t>
            </w:r>
          </w:p>
        </w:tc>
        <w:tc>
          <w:tcPr>
            <w:tcW w:type="dxa" w:w="2051"/>
            <w:shd w:val="clear" w:color="auto" w:fill="f5f7f9"/>
          </w:tcPr>
          <w:p>
            <w:pPr>
              <w:keepNext/>
              <w:spacing w:after="0" w:before="0"/>
              <w:jc w:val="left"/>
            </w:pPr>
            <w:r/>
            <w:r>
              <w:rPr>
                <w:b w:val="0"/>
                <w:color w:val="1F2933"/>
                <w:sz w:val="17"/>
              </w:rPr>
              <w:t>Excel workbook</w:t>
            </w:r>
          </w:p>
        </w:tc>
        <w:tc>
          <w:tcPr>
            <w:tcW w:type="dxa" w:w="3281"/>
            <w:shd w:val="clear" w:color="auto" w:fill="f5f7f9"/>
          </w:tcPr>
          <w:p>
            <w:pPr>
              <w:keepNext/>
              <w:spacing w:after="0" w:before="0"/>
              <w:jc w:val="left"/>
            </w:pPr>
            <w:r/>
            <w:r>
              <w:rPr>
                <w:b w:val="0"/>
                <w:color w:val="1F2933"/>
                <w:sz w:val="17"/>
              </w:rPr>
              <w:t>Complete analysis report</w:t>
            </w:r>
          </w:p>
        </w:tc>
      </w:tr>
      <w:tr>
        <w:trPr>
          <w:cantSplit/>
        </w:trPr>
        <w:tc>
          <w:tcPr>
            <w:tcW w:type="dxa" w:w="4306"/>
          </w:tcPr>
          <w:p>
            <w:pPr>
              <w:keepNext/>
              <w:spacing w:after="0" w:before="0"/>
              <w:jc w:val="left"/>
            </w:pPr>
            <w:r/>
            <w:r>
              <w:rPr>
                <w:b w:val="0"/>
                <w:color w:val="1F2933"/>
                <w:sz w:val="17"/>
              </w:rPr>
              <w:t>piura_out/footprints_osm/deliverables/building_footprints_report.docx</w:t>
            </w:r>
          </w:p>
        </w:tc>
        <w:tc>
          <w:tcPr>
            <w:tcW w:type="dxa" w:w="2051"/>
          </w:tcPr>
          <w:p>
            <w:pPr>
              <w:keepNext/>
              <w:spacing w:after="0" w:before="0"/>
              <w:jc w:val="left"/>
            </w:pPr>
            <w:r/>
            <w:r>
              <w:rPr>
                <w:b w:val="0"/>
                <w:color w:val="1F2933"/>
                <w:sz w:val="17"/>
              </w:rPr>
              <w:t>Word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piura_out/footprints_osm/deliverables/maps/building_footprints_map.png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piura_out/footprints_osm/deliverables/maps/building_footprints_map_count.png</w:t>
            </w:r>
          </w:p>
        </w:tc>
        <w:tc>
          <w:tcPr>
            <w:tcW w:type="dxa" w:w="2051"/>
          </w:tcPr>
          <w:p>
            <w:pPr>
              <w:keepNext/>
              <w:spacing w:after="0" w:before="0"/>
              <w:jc w:val="left"/>
            </w:pPr>
            <w:r/>
            <w:r>
              <w:rPr>
                <w:b w:val="0"/>
                <w:color w:val="1F2933"/>
                <w:sz w:val="17"/>
              </w:rPr>
              <w:t>PNG image</w:t>
            </w:r>
          </w:p>
        </w:tc>
        <w:tc>
          <w:tcPr>
            <w:tcW w:type="dxa" w:w="3281"/>
          </w:tcPr>
          <w:p>
            <w:pPr>
              <w:keepNext/>
              <w:spacing w:after="0" w:before="0"/>
              <w:jc w:val="left"/>
            </w:pPr>
            <w:r/>
            <w:r>
              <w:rPr>
                <w:b w:val="0"/>
                <w:color w:val="1F2933"/>
                <w:sz w:val="17"/>
              </w:rPr>
              <w:t>Map or chart for slides and documents</w:t>
            </w:r>
          </w:p>
        </w:tc>
      </w:tr>
      <w:tr>
        <w:trPr>
          <w:cantSplit/>
        </w:trPr>
        <w:tc>
          <w:tcPr>
            <w:tcW w:type="dxa" w:w="4306"/>
            <w:shd w:val="clear" w:color="auto" w:fill="f5f7f9"/>
          </w:tcPr>
          <w:p>
            <w:pPr>
              <w:keepNext/>
              <w:spacing w:after="0" w:before="0"/>
              <w:jc w:val="left"/>
            </w:pPr>
            <w:r/>
            <w:r>
              <w:rPr>
                <w:b w:val="0"/>
                <w:color w:val="1F2933"/>
                <w:sz w:val="17"/>
              </w:rPr>
              <w:t>piura_out/footprints_osm/deliverables/maps/building_footprints_histogram.png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piura_out/footprints_osm/deliverables/vectors/building_footprints.gpkg</w:t>
            </w:r>
          </w:p>
        </w:tc>
        <w:tc>
          <w:tcPr>
            <w:tcW w:type="dxa" w:w="2051"/>
          </w:tcPr>
          <w:p>
            <w:pPr>
              <w:keepNext/>
              <w:spacing w:after="0" w:before="0"/>
              <w:jc w:val="left"/>
            </w:pPr>
            <w:r/>
            <w:r>
              <w:rPr>
                <w:b w:val="0"/>
                <w:color w:val="1F2933"/>
                <w:sz w:val="17"/>
              </w:rPr>
              <w:t>GeoPackage (all layers)</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piura_out/footprints_osm/deliverables/vectors/geojson/building_footprints_aoi.geojson</w:t>
            </w:r>
          </w:p>
        </w:tc>
        <w:tc>
          <w:tcPr>
            <w:tcW w:type="dxa" w:w="2051"/>
            <w:shd w:val="clear" w:color="auto" w:fill="f5f7f9"/>
          </w:tcPr>
          <w:p>
            <w:pPr>
              <w:keepNext/>
              <w:spacing w:after="0" w:before="0"/>
              <w:jc w:val="left"/>
            </w:pPr>
            <w:r/>
            <w:r>
              <w:rPr>
                <w:b w:val="0"/>
                <w:color w:val="1F2933"/>
                <w:sz w:val="17"/>
              </w:rPr>
              <w:t>GeoJSON, EPSG:4326</w:t>
            </w:r>
          </w:p>
        </w:tc>
        <w:tc>
          <w:tcPr>
            <w:tcW w:type="dxa" w:w="3281"/>
            <w:shd w:val="clear" w:color="auto" w:fill="f5f7f9"/>
          </w:tcPr>
          <w:p>
            <w:pPr>
              <w:keepNext/>
              <w:spacing w:after="0" w:before="0"/>
              <w:jc w:val="left"/>
            </w:pPr>
            <w:r/>
            <w:r>
              <w:rPr>
                <w:b w:val="0"/>
                <w:color w:val="1F2933"/>
                <w:sz w:val="17"/>
              </w:rPr>
              <w:t>Vector features with attributes</w:t>
            </w:r>
          </w:p>
        </w:tc>
      </w:tr>
      <w:tr>
        <w:trPr>
          <w:cantSplit/>
        </w:trPr>
        <w:tc>
          <w:tcPr>
            <w:tcW w:type="dxa" w:w="4306"/>
          </w:tcPr>
          <w:p>
            <w:pPr>
              <w:keepNext/>
              <w:spacing w:after="0" w:before="0"/>
              <w:jc w:val="left"/>
            </w:pPr>
            <w:r/>
            <w:r>
              <w:rPr>
                <w:b w:val="0"/>
                <w:color w:val="1F2933"/>
                <w:sz w:val="17"/>
              </w:rPr>
              <w:t>piura_out/footprints_osm/deliverables/vectors/geojson/building_footprints_buildings.geojson</w:t>
            </w:r>
          </w:p>
        </w:tc>
        <w:tc>
          <w:tcPr>
            <w:tcW w:type="dxa" w:w="2051"/>
          </w:tcPr>
          <w:p>
            <w:pPr>
              <w:keepNext/>
              <w:spacing w:after="0" w:before="0"/>
              <w:jc w:val="left"/>
            </w:pPr>
            <w:r/>
            <w:r>
              <w:rPr>
                <w:b w:val="0"/>
                <w:color w:val="1F2933"/>
                <w:sz w:val="17"/>
              </w:rPr>
              <w:t>GeoJSON, EPSG:4326</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run_summary.json</w:t>
            </w:r>
          </w:p>
        </w:tc>
        <w:tc>
          <w:tcPr>
            <w:tcW w:type="dxa" w:w="2051"/>
            <w:shd w:val="clear" w:color="auto" w:fill="f5f7f9"/>
          </w:tcPr>
          <w:p>
            <w:pPr>
              <w:keepNext/>
              <w:spacing w:after="0" w:before="0"/>
              <w:jc w:val="left"/>
            </w:pPr>
            <w:r/>
            <w:r>
              <w:rPr>
                <w:b w:val="0"/>
                <w:color w:val="1F2933"/>
                <w:sz w:val="17"/>
              </w:rPr>
              <w:t>JSON</w:t>
            </w:r>
          </w:p>
        </w:tc>
        <w:tc>
          <w:tcPr>
            <w:tcW w:type="dxa" w:w="3281"/>
            <w:shd w:val="clear" w:color="auto" w:fill="f5f7f9"/>
          </w:tcPr>
          <w:p>
            <w:pPr>
              <w:keepNext/>
              <w:spacing w:after="0" w:before="0"/>
              <w:jc w:val="left"/>
            </w:pPr>
            <w:r/>
            <w:r>
              <w:rPr>
                <w:b w:val="0"/>
                <w:color w:val="1F2933"/>
                <w:sz w:val="17"/>
              </w:rPr>
              <w:t>Machine-readable record of this run</w:t>
            </w:r>
          </w:p>
        </w:tc>
      </w:tr>
    </w:tbl>
    <w:p>
      <w:pPr>
        <w:spacing w:after="40"/>
      </w:pPr>
    </w:p>
    <w:p>
      <w:pPr>
        <w:keepNext/>
        <w:spacing w:before="120"/>
      </w:pPr>
      <w:r>
        <w:rPr>
          <w:b/>
          <w:sz w:val="20"/>
        </w:rPr>
        <w:t>Vector layers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2628"/>
        <w:gridCol w:w="1095"/>
        <w:gridCol w:w="1533"/>
        <w:gridCol w:w="4381"/>
      </w:tblGrid>
      <w:tr>
        <w:trPr>
          <w:tblHeader w:val="true"/>
        </w:trPr>
        <w:tc>
          <w:tcPr>
            <w:tcW w:type="dxa" w:w="2628"/>
            <w:shd w:val="clear" w:color="auto" w:fill="1b4965"/>
          </w:tcPr>
          <w:p>
            <w:pPr>
              <w:keepNext/>
              <w:spacing w:after="0" w:before="0"/>
              <w:jc w:val="left"/>
            </w:pPr>
            <w:r/>
            <w:r>
              <w:rPr>
                <w:b/>
                <w:color w:val="FFFFFF"/>
                <w:sz w:val="17"/>
              </w:rPr>
              <w:t>Layer</w:t>
            </w:r>
          </w:p>
        </w:tc>
        <w:tc>
          <w:tcPr>
            <w:tcW w:type="dxa" w:w="1095"/>
            <w:shd w:val="clear" w:color="auto" w:fill="1b4965"/>
          </w:tcPr>
          <w:p>
            <w:pPr>
              <w:keepNext/>
              <w:spacing w:after="0" w:before="0"/>
              <w:jc w:val="right"/>
            </w:pPr>
            <w:r/>
            <w:r>
              <w:rPr>
                <w:b/>
                <w:color w:val="FFFFFF"/>
                <w:sz w:val="17"/>
              </w:rPr>
              <w:t>Features</w:t>
            </w:r>
          </w:p>
        </w:tc>
        <w:tc>
          <w:tcPr>
            <w:tcW w:type="dxa" w:w="1533"/>
            <w:shd w:val="clear" w:color="auto" w:fill="1b4965"/>
          </w:tcPr>
          <w:p>
            <w:pPr>
              <w:keepNext/>
              <w:spacing w:after="0" w:before="0"/>
              <w:jc w:val="right"/>
            </w:pPr>
            <w:r/>
            <w:r>
              <w:rPr>
                <w:b/>
                <w:color w:val="FFFFFF"/>
                <w:sz w:val="17"/>
              </w:rPr>
              <w:t>Total area (ha)</w:t>
            </w:r>
          </w:p>
        </w:tc>
        <w:tc>
          <w:tcPr>
            <w:tcW w:type="dxa" w:w="4381"/>
            <w:shd w:val="clear" w:color="auto" w:fill="1b4965"/>
          </w:tcPr>
          <w:p>
            <w:pPr>
              <w:keepNext/>
              <w:spacing w:after="0" w:before="0"/>
              <w:jc w:val="left"/>
            </w:pPr>
            <w:r/>
            <w:r>
              <w:rPr>
                <w:b/>
                <w:color w:val="FFFFFF"/>
                <w:sz w:val="17"/>
              </w:rPr>
              <w:t>Note</w:t>
            </w:r>
          </w:p>
        </w:tc>
      </w:tr>
      <w:tr>
        <w:trPr>
          <w:cantSplit/>
        </w:trPr>
        <w:tc>
          <w:tcPr>
            <w:tcW w:type="dxa" w:w="2628"/>
          </w:tcPr>
          <w:p>
            <w:pPr>
              <w:keepNext/>
              <w:spacing w:after="0" w:before="0"/>
              <w:jc w:val="left"/>
            </w:pPr>
            <w:r/>
            <w:r>
              <w:rPr>
                <w:b w:val="0"/>
                <w:color w:val="1F2933"/>
                <w:sz w:val="17"/>
              </w:rPr>
              <w:t>buildings</w:t>
            </w:r>
          </w:p>
        </w:tc>
        <w:tc>
          <w:tcPr>
            <w:tcW w:type="dxa" w:w="1095"/>
          </w:tcPr>
          <w:p>
            <w:pPr>
              <w:keepNext/>
              <w:spacing w:after="0" w:before="0"/>
              <w:jc w:val="right"/>
            </w:pPr>
            <w:r/>
            <w:r>
              <w:rPr>
                <w:b w:val="0"/>
                <w:color w:val="1F2933"/>
                <w:sz w:val="17"/>
              </w:rPr>
              <w:t>321</w:t>
            </w:r>
          </w:p>
        </w:tc>
        <w:tc>
          <w:tcPr>
            <w:tcW w:type="dxa" w:w="1533"/>
          </w:tcPr>
          <w:p>
            <w:pPr>
              <w:keepNext/>
              <w:spacing w:after="0" w:before="0"/>
              <w:jc w:val="right"/>
            </w:pPr>
            <w:r/>
            <w:r>
              <w:rPr>
                <w:b w:val="0"/>
                <w:color w:val="1F2933"/>
                <w:sz w:val="17"/>
              </w:rPr>
              <w:t>9.7</w:t>
            </w:r>
          </w:p>
        </w:tc>
        <w:tc>
          <w:tcPr>
            <w:tcW w:type="dxa" w:w="4381"/>
          </w:tcPr>
          <w:p>
            <w:pPr>
              <w:keepNext/>
              <w:spacing w:after="0" w:before="0"/>
              <w:jc w:val="left"/>
            </w:pPr>
            <w:r/>
            <w:r>
              <w:rPr>
                <w:b w:val="0"/>
                <w:color w:val="1F2933"/>
                <w:sz w:val="17"/>
              </w:rPr>
            </w:r>
          </w:p>
        </w:tc>
      </w:tr>
    </w:tbl>
    <w:p>
      <w:pPr>
        <w:spacing w:after="40"/>
      </w:pPr>
    </w:p>
    <w:p>
      <w:r>
        <w:t>Vector layers made from rasters carry class_id, class_name, color_hex, area_ha, area_m2 (equal-area projection), pct_aoi, cx, cy, pipeline and period; layers a pipeline wrote itself (buildings, roads, streams, fire points) keep their own attributes. Coordinates are WGS 84 (EPSG:4326). The GeoPackage also holds the 'aoi' outline and, for raster-derived layers, a dissolved '&lt;layer&gt;_classes' summary.</w:t>
      </w:r>
    </w:p>
    <w:p>
      <w:pPr>
        <w:pStyle w:val="Heading1"/>
      </w:pPr>
      <w:r>
        <w:t>References</w:t>
      </w:r>
    </w:p>
    <w:p>
      <w:pPr>
        <w:pStyle w:val="ListBullet"/>
      </w:pPr>
      <w:r>
        <w:t>Microsoft. Global ML Building Footprints (github.com/microsoft/GlobalMLBuildingFootprints), Open Data Commons Open Database License.</w:t>
      </w:r>
    </w:p>
    <w:p>
      <w:pPr>
        <w:pStyle w:val="ListBullet"/>
      </w:pPr>
      <w:r>
        <w:t>Sirko, W. et al. (2021). Continental-scale building detection from high resolution satellite imagery. arXiv:2107.12283. (Google Open Buildings v3.)</w:t>
      </w:r>
    </w:p>
    <w:p>
      <w:pPr>
        <w:pStyle w:val="ListBullet"/>
      </w:pPr>
      <w:r>
        <w:t>OpenStreetMap contributors. Data (c) OpenStreetMap, available under the Open Database License (openstreetmap.org/copyright).</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2606D"/>
        <w:sz w:val="16"/>
      </w:rPr>
      <w:t xml:space="preserve">Generated 2026-10-30 07:12 UTC    |    Page </w:t>
    </w:r>
    <w:r>
      <w:rPr>
        <w:color w:val="52606D"/>
        <w:sz w:val="16"/>
      </w:rPr>
      <w:fldChar w:fldCharType="begin"/>
      <w:instrText xml:space="preserve">PAGE</w:instrText>
      <w:fldChar w:fldCharType="end"/>
    </w:r>
    <w:r>
      <w:rPr>
        <w:color w:val="52606D"/>
        <w:sz w:val="16"/>
      </w:rPr>
      <w:t xml:space="preserve"> of </w:t>
    </w:r>
    <w:r>
      <w:rPr>
        <w:color w:val="52606D"/>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2606D"/>
        <w:sz w:val="16"/>
      </w:rPr>
      <w:t>Building Footprints    |    PyGeoVision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b w:val="0"/>
      <w:color w:val="52606D"/>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Arial" w:hAnsi="Arial"/>
      <w:b/>
      <w:bCs/>
      <w:color w:val="1B496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1F29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Footprints</dc:title>
  <dc:subject>n/a (published dataset) · 2.8 km²</dc:subject>
  <dc:creator>PyGeoVision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