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CellMar>
          <w:top w:w="220" w:type="dxa"/>
          <w:left w:w="260" w:type="dxa"/>
          <w:bottom w:w="220" w:type="dxa"/>
          <w:right w:w="260" w:type="dxa"/>
        </w:tblCellMar>
      </w:tblPr>
      <w:tblGrid>
        <w:gridCol w:w="9638"/>
      </w:tblGrid>
      <w:tr>
        <w:tc>
          <w:tcPr>
            <w:tcW w:type="dxa" w:w="9638"/>
            <w:shd w:val="clear" w:color="auto" w:fill="1b4965"/>
          </w:tcPr>
          <w:p>
            <w:r/>
            <w:r>
              <w:rPr>
                <w:b/>
                <w:color w:val="8FB8D3"/>
                <w:sz w:val="17"/>
              </w:rPr>
              <w:t>PYGEOVISION  ·  GEOSPATIAL ANALYSIS REPORT</w:t>
            </w:r>
          </w:p>
          <w:p>
            <w:pPr>
              <w:spacing w:before="200"/>
            </w:pPr>
            <w:r>
              <w:rPr>
                <w:b/>
                <w:color w:val="FFFFFF"/>
                <w:sz w:val="48"/>
              </w:rPr>
              <w:t>Urban Expansion (annual 10 m land cover)</w:t>
            </w:r>
          </w:p>
          <w:p>
            <w:r>
              <w:rPr>
                <w:color w:val="DBE9F3"/>
                <w:sz w:val="22"/>
              </w:rPr>
              <w:t>2020 to 2023 · 2.8 km²</w:t>
            </w:r>
          </w:p>
        </w:tc>
      </w:tr>
    </w:tbl>
    <w:p>
      <w:pPr>
        <w:spacing w:after="40"/>
      </w:pPr>
    </w:p>
    <w:tbl>
      <w:tblPr>
        <w:tblW w:type="auto" w:w="0"/>
        <w:tblLayout w:type="fixed"/>
        <w:tblLook w:firstColumn="1" w:firstRow="1" w:lastColumn="0" w:lastRow="0" w:noHBand="0" w:noVBand="1" w:val="04A0"/>
        <w:tblCellMar>
          <w:top w:w="90" w:type="dxa"/>
          <w:left w:w="120" w:type="dxa"/>
          <w:bottom w:w="90" w:type="dxa"/>
          <w:right w:w="100" w:type="dxa"/>
        </w:tblCellMar>
      </w:tblPr>
      <w:tblGrid>
        <w:gridCol w:w="2409"/>
        <w:gridCol w:w="2409"/>
        <w:gridCol w:w="2409"/>
        <w:gridCol w:w="2409"/>
      </w:tblGrid>
      <w:tr>
        <w:tc>
          <w:tcPr>
            <w:tcW w:type="dxa" w:w="2409"/>
            <w:shd w:val="clear" w:color="auto" w:fill="e3edf4"/>
            <w:tcBorders>
              <w:left w:val="single" w:sz="18" w:color="1b4965"/>
            </w:tcBorders>
          </w:tcPr>
          <w:p>
            <w:pPr>
              <w:spacing w:after="20"/>
            </w:pPr>
            <w:r/>
            <w:r>
              <w:rPr>
                <w:b/>
                <w:color w:val="1B4965"/>
                <w:sz w:val="30"/>
              </w:rPr>
              <w:t>172.1 ha</w:t>
            </w:r>
          </w:p>
          <w:p>
            <w:pPr>
              <w:spacing w:after="0"/>
            </w:pPr>
            <w:r>
              <w:rPr>
                <w:color w:val="52606D"/>
                <w:sz w:val="16"/>
              </w:rPr>
              <w:t>Built area, first year</w:t>
            </w:r>
          </w:p>
        </w:tc>
        <w:tc>
          <w:tcPr>
            <w:tcW w:type="dxa" w:w="2409"/>
            <w:shd w:val="clear" w:color="auto" w:fill="e3edf4"/>
            <w:tcBorders>
              <w:left w:val="single" w:sz="18" w:color="1b4965"/>
            </w:tcBorders>
          </w:tcPr>
          <w:p>
            <w:pPr>
              <w:spacing w:after="20"/>
            </w:pPr>
            <w:r/>
            <w:r>
              <w:rPr>
                <w:b/>
                <w:color w:val="1B4965"/>
                <w:sz w:val="30"/>
              </w:rPr>
              <w:t>177.7 ha</w:t>
            </w:r>
          </w:p>
          <w:p>
            <w:pPr>
              <w:spacing w:after="0"/>
            </w:pPr>
            <w:r>
              <w:rPr>
                <w:color w:val="52606D"/>
                <w:sz w:val="16"/>
              </w:rPr>
              <w:t>Built area, second year</w:t>
            </w:r>
          </w:p>
        </w:tc>
        <w:tc>
          <w:tcPr>
            <w:tcW w:type="dxa" w:w="2409"/>
            <w:shd w:val="clear" w:color="auto" w:fill="e3edf4"/>
            <w:tcBorders>
              <w:left w:val="single" w:sz="18" w:color="1b4965"/>
            </w:tcBorders>
          </w:tcPr>
          <w:p>
            <w:pPr>
              <w:spacing w:after="20"/>
            </w:pPr>
            <w:r/>
            <w:r>
              <w:rPr>
                <w:b/>
                <w:color w:val="1B4965"/>
                <w:sz w:val="30"/>
              </w:rPr>
              <w:t>16.8 ha</w:t>
            </w:r>
          </w:p>
          <w:p>
            <w:pPr>
              <w:spacing w:after="0"/>
            </w:pPr>
            <w:r>
              <w:rPr>
                <w:color w:val="52606D"/>
                <w:sz w:val="16"/>
              </w:rPr>
              <w:t>Gross gain</w:t>
            </w:r>
          </w:p>
        </w:tc>
        <w:tc>
          <w:tcPr>
            <w:tcW w:type="dxa" w:w="2409"/>
            <w:shd w:val="clear" w:color="auto" w:fill="e3edf4"/>
            <w:tcBorders>
              <w:left w:val="single" w:sz="18" w:color="1b4965"/>
            </w:tcBorders>
          </w:tcPr>
          <w:p>
            <w:pPr>
              <w:spacing w:after="20"/>
            </w:pPr>
            <w:r/>
            <w:r>
              <w:rPr>
                <w:b/>
                <w:color w:val="1B4965"/>
                <w:sz w:val="30"/>
              </w:rPr>
              <w:t>11.2 ha</w:t>
            </w:r>
          </w:p>
          <w:p>
            <w:pPr>
              <w:spacing w:after="0"/>
            </w:pPr>
            <w:r>
              <w:rPr>
                <w:color w:val="52606D"/>
                <w:sz w:val="16"/>
              </w:rPr>
              <w:t>Gross loss</w:t>
            </w:r>
          </w:p>
        </w:tc>
      </w:tr>
    </w:tbl>
    <w:p>
      <w:pPr>
        <w:spacing w:after="40"/>
      </w:pPr>
    </w:p>
    <w:p>
      <w:pPr>
        <w:pStyle w:val="Heading1"/>
      </w:pPr>
      <w:r>
        <w:t>Executive summary</w:t>
      </w:r>
    </w:p>
    <w:p>
      <w:pPr>
        <w:pStyle w:val="ListBullet"/>
      </w:pPr>
      <w:r>
        <w:t>Built-up area went from 172.1 ha in 2020 to 177.7 ha in 2023: gross gain 16.8 ha, gross loss 11.2 ha, net 5.6 ha.</w:t>
      </w:r>
    </w:p>
    <w:p>
      <w:pPr>
        <w:pStyle w:val="ListBullet"/>
      </w:pPr>
      <w:r>
        <w:t>Compound annual growth of the built-up area: 1.1 % per year.</w:t>
      </w:r>
    </w:p>
    <w:tbl>
      <w:tblPr>
        <w:tblW w:type="auto" w:w="0"/>
        <w:tblLayout w:type="fixed"/>
        <w:tblLook w:firstColumn="1" w:firstRow="1" w:lastColumn="0" w:lastRow="0" w:noHBand="0" w:noVBand="1" w:val="04A0"/>
        <w:tblCellMar>
          <w:top w:w="80" w:type="dxa"/>
          <w:left w:w="160" w:type="dxa"/>
          <w:bottom w:w="80" w:type="dxa"/>
          <w:right w:w="120" w:type="dxa"/>
        </w:tblCellMar>
      </w:tblPr>
      <w:tblGrid>
        <w:gridCol w:w="9638"/>
      </w:tblGrid>
      <w:tr>
        <w:tc>
          <w:tcPr>
            <w:tcW w:type="dxa" w:w="9638"/>
            <w:shd w:val="clear" w:color="auto" w:fill="e3edf4"/>
            <w:tcBorders>
              <w:left w:val="single" w:sz="24" w:color="1b4965"/>
            </w:tcBorders>
          </w:tcPr>
          <w:p>
            <w:pPr>
              <w:spacing w:after="0" w:before="0"/>
              <w:jc w:val="left"/>
            </w:pPr>
            <w:r/>
            <w:r>
              <w:rPr>
                <w:b w:val="0"/>
                <w:color w:val="1F2933"/>
                <w:sz w:val="19"/>
              </w:rPr>
              <w:t>Impact Observatory / Esri 10 m Annual Land Use Land Cover (v02, Sentinel-2 based, CC BY 4.0). Each year is classified independently, so a year-to-year difference contains classifier disagreement as well as real change; single-pixel flips are expected.</w:t>
            </w:r>
          </w:p>
        </w:tc>
      </w:tr>
    </w:tbl>
    <w:p>
      <w:pPr>
        <w:spacing w:after="0"/>
      </w:pPr>
    </w:p>
    <w:p>
      <w:pPr>
        <w:pStyle w:val="Heading1"/>
      </w:pPr>
      <w:r>
        <w:t>Study area and inputs</w:t>
      </w:r>
    </w:p>
    <w:tbl>
      <w:tblPr>
        <w:tblW w:type="auto" w:w="0"/>
        <w:tblLayout w:type="fixed"/>
        <w:tblLook w:firstColumn="1" w:firstRow="1" w:lastColumn="0" w:lastRow="0" w:noHBand="0" w:noVBand="1" w:val="04A0"/>
        <w:tblCellMar>
          <w:top w:w="40" w:type="dxa"/>
          <w:left w:w="60" w:type="dxa"/>
          <w:bottom w:w="40" w:type="dxa"/>
          <w:right w:w="60" w:type="dxa"/>
        </w:tblCellMar>
      </w:tblPr>
      <w:tblGrid>
        <w:gridCol w:w="3288"/>
        <w:gridCol w:w="6350"/>
      </w:tblGrid>
      <w:tr>
        <w:trPr>
          <w:cantSplit/>
        </w:trPr>
        <w:tc>
          <w:tcPr>
            <w:tcW w:type="dxa" w:w="3288"/>
            <w:tcBorders>
              <w:bottom w:val="single" w:sz="4" w:color="d5dbe1"/>
            </w:tcBorders>
          </w:tcPr>
          <w:p>
            <w:pPr>
              <w:spacing w:after="0" w:before="0"/>
              <w:jc w:val="left"/>
            </w:pPr>
            <w:r/>
            <w:r>
              <w:rPr>
                <w:b w:val="0"/>
                <w:color w:val="52606D"/>
                <w:sz w:val="17"/>
              </w:rPr>
              <w:t>Area of interest (west, south, east, north)</w:t>
            </w:r>
          </w:p>
        </w:tc>
        <w:tc>
          <w:tcPr>
            <w:tcW w:type="dxa" w:w="6350"/>
            <w:tcBorders>
              <w:bottom w:val="single" w:sz="4" w:color="d5dbe1"/>
            </w:tcBorders>
          </w:tcPr>
          <w:p>
            <w:pPr>
              <w:spacing w:after="0" w:before="0"/>
              <w:jc w:val="left"/>
            </w:pPr>
            <w:r/>
            <w:r>
              <w:rPr>
                <w:b w:val="0"/>
                <w:color w:val="1F2933"/>
                <w:sz w:val="18"/>
              </w:rPr>
              <w:t>-80.6250, -5.1800, -80.6100, -5.1650</w:t>
            </w:r>
          </w:p>
        </w:tc>
      </w:tr>
      <w:tr>
        <w:trPr>
          <w:cantSplit/>
        </w:trPr>
        <w:tc>
          <w:tcPr>
            <w:tcW w:type="dxa" w:w="3288"/>
            <w:tcBorders>
              <w:bottom w:val="single" w:sz="4" w:color="d5dbe1"/>
            </w:tcBorders>
          </w:tcPr>
          <w:p>
            <w:pPr>
              <w:spacing w:after="0" w:before="0"/>
              <w:jc w:val="left"/>
            </w:pPr>
            <w:r/>
            <w:r>
              <w:rPr>
                <w:b w:val="0"/>
                <w:color w:val="52606D"/>
                <w:sz w:val="17"/>
              </w:rPr>
              <w:t>Centre</w:t>
            </w:r>
          </w:p>
        </w:tc>
        <w:tc>
          <w:tcPr>
            <w:tcW w:type="dxa" w:w="6350"/>
            <w:tcBorders>
              <w:bottom w:val="single" w:sz="4" w:color="d5dbe1"/>
            </w:tcBorders>
          </w:tcPr>
          <w:p>
            <w:pPr>
              <w:spacing w:after="0" w:before="0"/>
              <w:jc w:val="left"/>
            </w:pPr>
            <w:r/>
            <w:r>
              <w:rPr>
                <w:b w:val="0"/>
                <w:color w:val="1F2933"/>
                <w:sz w:val="18"/>
              </w:rPr>
              <w:t>-5.1725°, -80.6175°</w:t>
            </w:r>
          </w:p>
        </w:tc>
      </w:tr>
      <w:tr>
        <w:trPr>
          <w:cantSplit/>
        </w:trPr>
        <w:tc>
          <w:tcPr>
            <w:tcW w:type="dxa" w:w="3288"/>
            <w:tcBorders>
              <w:bottom w:val="single" w:sz="4" w:color="d5dbe1"/>
            </w:tcBorders>
          </w:tcPr>
          <w:p>
            <w:pPr>
              <w:spacing w:after="0" w:before="0"/>
              <w:jc w:val="left"/>
            </w:pPr>
            <w:r/>
            <w:r>
              <w:rPr>
                <w:b w:val="0"/>
                <w:color w:val="52606D"/>
                <w:sz w:val="17"/>
              </w:rPr>
              <w:t>Area of interest</w:t>
            </w:r>
          </w:p>
        </w:tc>
        <w:tc>
          <w:tcPr>
            <w:tcW w:type="dxa" w:w="6350"/>
            <w:tcBorders>
              <w:bottom w:val="single" w:sz="4" w:color="d5dbe1"/>
            </w:tcBorders>
          </w:tcPr>
          <w:p>
            <w:pPr>
              <w:spacing w:after="0" w:before="0"/>
              <w:jc w:val="left"/>
            </w:pPr>
            <w:r/>
            <w:r>
              <w:rPr>
                <w:b w:val="0"/>
                <w:color w:val="1F2933"/>
                <w:sz w:val="18"/>
              </w:rPr>
              <w:t>2.76 km²</w:t>
            </w:r>
          </w:p>
        </w:tc>
      </w:tr>
      <w:tr>
        <w:trPr>
          <w:cantSplit/>
        </w:trPr>
        <w:tc>
          <w:tcPr>
            <w:tcW w:type="dxa" w:w="3288"/>
            <w:tcBorders>
              <w:bottom w:val="single" w:sz="4" w:color="d5dbe1"/>
            </w:tcBorders>
          </w:tcPr>
          <w:p>
            <w:pPr>
              <w:spacing w:after="0" w:before="0"/>
              <w:jc w:val="left"/>
            </w:pPr>
            <w:r/>
            <w:r>
              <w:rPr>
                <w:b w:val="0"/>
                <w:color w:val="52606D"/>
                <w:sz w:val="17"/>
              </w:rPr>
              <w:t>Period</w:t>
            </w:r>
          </w:p>
        </w:tc>
        <w:tc>
          <w:tcPr>
            <w:tcW w:type="dxa" w:w="6350"/>
            <w:tcBorders>
              <w:bottom w:val="single" w:sz="4" w:color="d5dbe1"/>
            </w:tcBorders>
          </w:tcPr>
          <w:p>
            <w:pPr>
              <w:spacing w:after="0" w:before="0"/>
              <w:jc w:val="left"/>
            </w:pPr>
            <w:r/>
            <w:r>
              <w:rPr>
                <w:b w:val="0"/>
                <w:color w:val="1F2933"/>
                <w:sz w:val="18"/>
              </w:rPr>
              <w:t>2020 to 2023</w:t>
            </w:r>
          </w:p>
        </w:tc>
      </w:tr>
      <w:tr>
        <w:trPr>
          <w:cantSplit/>
        </w:trPr>
        <w:tc>
          <w:tcPr>
            <w:tcW w:type="dxa" w:w="3288"/>
            <w:tcBorders>
              <w:bottom w:val="single" w:sz="4" w:color="d5dbe1"/>
            </w:tcBorders>
          </w:tcPr>
          <w:p>
            <w:pPr>
              <w:spacing w:after="0" w:before="0"/>
              <w:jc w:val="left"/>
            </w:pPr>
            <w:r/>
            <w:r>
              <w:rPr>
                <w:b w:val="0"/>
                <w:color w:val="52606D"/>
                <w:sz w:val="17"/>
              </w:rPr>
              <w:t>Output grid</w:t>
            </w:r>
          </w:p>
        </w:tc>
        <w:tc>
          <w:tcPr>
            <w:tcW w:type="dxa" w:w="6350"/>
            <w:tcBorders>
              <w:bottom w:val="single" w:sz="4" w:color="d5dbe1"/>
            </w:tcBorders>
          </w:tcPr>
          <w:p>
            <w:pPr>
              <w:spacing w:after="0" w:before="0"/>
              <w:jc w:val="left"/>
            </w:pPr>
            <w:r/>
            <w:r>
              <w:rPr>
                <w:b w:val="0"/>
                <w:color w:val="1F2933"/>
                <w:sz w:val="18"/>
              </w:rPr>
              <w:t>168 × 167 pixels, EPSG:32717</w:t>
            </w:r>
          </w:p>
        </w:tc>
      </w:tr>
      <w:tr>
        <w:trPr>
          <w:cantSplit/>
        </w:trPr>
        <w:tc>
          <w:tcPr>
            <w:tcW w:type="dxa" w:w="3288"/>
            <w:tcBorders>
              <w:bottom w:val="single" w:sz="4" w:color="d5dbe1"/>
            </w:tcBorders>
          </w:tcPr>
          <w:p>
            <w:pPr>
              <w:spacing w:after="0" w:before="0"/>
              <w:jc w:val="left"/>
            </w:pPr>
            <w:r/>
            <w:r>
              <w:rPr>
                <w:b w:val="0"/>
                <w:color w:val="52606D"/>
                <w:sz w:val="17"/>
              </w:rPr>
              <w:t>Raster extent area</w:t>
            </w:r>
          </w:p>
        </w:tc>
        <w:tc>
          <w:tcPr>
            <w:tcW w:type="dxa" w:w="6350"/>
            <w:tcBorders>
              <w:bottom w:val="single" w:sz="4" w:color="d5dbe1"/>
            </w:tcBorders>
          </w:tcPr>
          <w:p>
            <w:pPr>
              <w:spacing w:after="0" w:before="0"/>
              <w:jc w:val="left"/>
            </w:pPr>
            <w:r/>
            <w:r>
              <w:rPr>
                <w:b w:val="0"/>
                <w:color w:val="1F2933"/>
                <w:sz w:val="18"/>
              </w:rPr>
              <w:t>2.81 km²</w:t>
            </w:r>
          </w:p>
        </w:tc>
      </w:tr>
      <w:tr>
        <w:trPr>
          <w:cantSplit/>
        </w:trPr>
        <w:tc>
          <w:tcPr>
            <w:tcW w:type="dxa" w:w="3288"/>
            <w:tcBorders>
              <w:bottom w:val="single" w:sz="4" w:color="d5dbe1"/>
            </w:tcBorders>
          </w:tcPr>
          <w:p>
            <w:pPr>
              <w:spacing w:after="0" w:before="0"/>
              <w:jc w:val="left"/>
            </w:pPr>
            <w:r/>
            <w:r>
              <w:rPr>
                <w:b w:val="0"/>
                <w:color w:val="52606D"/>
                <w:sz w:val="17"/>
              </w:rPr>
              <w:t>Valid (cloud-free) share</w:t>
            </w:r>
          </w:p>
        </w:tc>
        <w:tc>
          <w:tcPr>
            <w:tcW w:type="dxa" w:w="6350"/>
            <w:tcBorders>
              <w:bottom w:val="single" w:sz="4" w:color="d5dbe1"/>
            </w:tcBorders>
          </w:tcPr>
          <w:p>
            <w:pPr>
              <w:spacing w:after="0" w:before="0"/>
              <w:jc w:val="left"/>
            </w:pPr>
            <w:r/>
            <w:r>
              <w:rPr>
                <w:b w:val="0"/>
                <w:color w:val="1F2933"/>
                <w:sz w:val="18"/>
              </w:rPr>
              <w:t>100.0 %</w:t>
            </w:r>
          </w:p>
        </w:tc>
      </w:tr>
    </w:tbl>
    <w:p>
      <w:pPr>
        <w:spacing w:after="40"/>
      </w:pPr>
    </w:p>
    <w:p>
      <w:pPr>
        <w:pStyle w:val="Heading1"/>
      </w:pPr>
      <w:r>
        <w:t>Results</w:t>
      </w:r>
    </w:p>
    <w:p>
      <w:pPr>
        <w:keepNext/>
        <w:spacing w:after="40"/>
      </w:pPr>
      <w:r>
        <w:drawing>
          <wp:inline xmlns:a="http://schemas.openxmlformats.org/drawingml/2006/main" xmlns:pic="http://schemas.openxmlformats.org/drawingml/2006/picture">
            <wp:extent cx="6120000" cy="4117091"/>
            <wp:docPr id="1" name="Picture 1"/>
            <wp:cNvGraphicFramePr>
              <a:graphicFrameLocks noChangeAspect="1"/>
            </wp:cNvGraphicFramePr>
            <a:graphic>
              <a:graphicData uri="http://schemas.openxmlformats.org/drawingml/2006/picture">
                <pic:pic>
                  <pic:nvPicPr>
                    <pic:cNvPr id="0" name="urban_expansion_map.png"/>
                    <pic:cNvPicPr/>
                  </pic:nvPicPr>
                  <pic:blipFill>
                    <a:blip r:embed="rId11"/>
                    <a:stretch>
                      <a:fillRect/>
                    </a:stretch>
                  </pic:blipFill>
                  <pic:spPr>
                    <a:xfrm>
                      <a:off x="0" y="0"/>
                      <a:ext cx="6120000" cy="4117091"/>
                    </a:xfrm>
                    <a:prstGeom prst="rect"/>
                  </pic:spPr>
                </pic:pic>
              </a:graphicData>
            </a:graphic>
          </wp:inline>
        </w:drawing>
      </w:r>
    </w:p>
    <w:p>
      <w:r>
        <w:rPr>
          <w:i/>
          <w:color w:val="52606D"/>
          <w:sz w:val="16"/>
        </w:rPr>
        <w:t>Map: Urban Expansion (annual 10 m land cover)</w:t>
      </w:r>
    </w:p>
    <w:p>
      <w:pPr>
        <w:keepNext/>
        <w:spacing w:after="40"/>
      </w:pPr>
      <w:r>
        <w:drawing>
          <wp:inline xmlns:a="http://schemas.openxmlformats.org/drawingml/2006/main" xmlns:pic="http://schemas.openxmlformats.org/drawingml/2006/picture">
            <wp:extent cx="6120000" cy="2815200"/>
            <wp:docPr id="2" name="Picture 2"/>
            <wp:cNvGraphicFramePr>
              <a:graphicFrameLocks noChangeAspect="1"/>
            </wp:cNvGraphicFramePr>
            <a:graphic>
              <a:graphicData uri="http://schemas.openxmlformats.org/drawingml/2006/picture">
                <pic:pic>
                  <pic:nvPicPr>
                    <pic:cNvPr id="0" name="urban_expansion_chart.png"/>
                    <pic:cNvPicPr/>
                  </pic:nvPicPr>
                  <pic:blipFill>
                    <a:blip r:embed="rId12"/>
                    <a:stretch>
                      <a:fillRect/>
                    </a:stretch>
                  </pic:blipFill>
                  <pic:spPr>
                    <a:xfrm>
                      <a:off x="0" y="0"/>
                      <a:ext cx="6120000" cy="2815200"/>
                    </a:xfrm>
                    <a:prstGeom prst="rect"/>
                  </pic:spPr>
                </pic:pic>
              </a:graphicData>
            </a:graphic>
          </wp:inline>
        </w:drawing>
      </w:r>
    </w:p>
    <w:p>
      <w:r>
        <w:rPr>
          <w:i/>
          <w:color w:val="52606D"/>
          <w:sz w:val="16"/>
        </w:rPr>
        <w:t>Summary chart</w:t>
      </w:r>
    </w:p>
    <w:p>
      <w:pPr>
        <w:keepNext/>
        <w:spacing w:before="120"/>
      </w:pPr>
      <w:r>
        <w:rPr>
          <w:b/>
          <w:sz w:val="20"/>
        </w:rPr>
        <w:t>Class areas: Built-up area change</w:t>
      </w:r>
    </w:p>
    <w:tbl>
      <w:tblPr>
        <w:tblW w:type="auto" w:w="0"/>
        <w:jc w:val="center"/>
        <w:tblLayout w:type="fixed"/>
        <w:tblLook w:firstColumn="1" w:firstRow="1" w:lastColumn="0" w:lastRow="0" w:noHBand="0" w:noVBand="1" w:val="04A0"/>
        <w:tblCellMar>
          <w:top w:w="50" w:type="dxa"/>
          <w:left w:w="90" w:type="dxa"/>
          <w:bottom w:w="50" w:type="dxa"/>
          <w:right w:w="90" w:type="dxa"/>
        </w:tblCellMar>
      </w:tblPr>
      <w:tblGrid>
        <w:gridCol w:w="255"/>
        <w:gridCol w:w="3027"/>
        <w:gridCol w:w="807"/>
        <w:gridCol w:w="1312"/>
        <w:gridCol w:w="1412"/>
        <w:gridCol w:w="1513"/>
        <w:gridCol w:w="1312"/>
      </w:tblGrid>
      <w:tr>
        <w:trPr>
          <w:tblHeader w:val="true"/>
        </w:trPr>
        <w:tc>
          <w:tcPr>
            <w:tcW w:type="dxa" w:w="255"/>
            <w:shd w:val="clear" w:color="auto" w:fill="1b4965"/>
          </w:tcPr>
          <w:p>
            <w:pPr>
              <w:keepNext/>
              <w:spacing w:after="0" w:before="0"/>
              <w:jc w:val="left"/>
            </w:pPr>
            <w:r/>
            <w:r>
              <w:rPr>
                <w:b/>
                <w:color w:val="FFFFFF"/>
                <w:sz w:val="17"/>
              </w:rPr>
            </w:r>
          </w:p>
        </w:tc>
        <w:tc>
          <w:tcPr>
            <w:tcW w:type="dxa" w:w="3027"/>
            <w:shd w:val="clear" w:color="auto" w:fill="1b4965"/>
          </w:tcPr>
          <w:p>
            <w:pPr>
              <w:keepNext/>
              <w:spacing w:after="0" w:before="0"/>
              <w:jc w:val="left"/>
            </w:pPr>
            <w:r/>
            <w:r>
              <w:rPr>
                <w:b/>
                <w:color w:val="FFFFFF"/>
                <w:sz w:val="17"/>
              </w:rPr>
              <w:t>Class</w:t>
            </w:r>
          </w:p>
        </w:tc>
        <w:tc>
          <w:tcPr>
            <w:tcW w:type="dxa" w:w="807"/>
            <w:shd w:val="clear" w:color="auto" w:fill="1b4965"/>
          </w:tcPr>
          <w:p>
            <w:pPr>
              <w:keepNext/>
              <w:spacing w:after="0" w:before="0"/>
              <w:jc w:val="right"/>
            </w:pPr>
            <w:r/>
            <w:r>
              <w:rPr>
                <w:b/>
                <w:color w:val="FFFFFF"/>
                <w:sz w:val="17"/>
              </w:rPr>
              <w:t>Value</w:t>
            </w:r>
          </w:p>
        </w:tc>
        <w:tc>
          <w:tcPr>
            <w:tcW w:type="dxa" w:w="1312"/>
            <w:shd w:val="clear" w:color="auto" w:fill="1b4965"/>
          </w:tcPr>
          <w:p>
            <w:pPr>
              <w:keepNext/>
              <w:spacing w:after="0" w:before="0"/>
              <w:jc w:val="right"/>
            </w:pPr>
            <w:r/>
            <w:r>
              <w:rPr>
                <w:b/>
                <w:color w:val="FFFFFF"/>
                <w:sz w:val="17"/>
              </w:rPr>
              <w:t>Pixels</w:t>
            </w:r>
          </w:p>
        </w:tc>
        <w:tc>
          <w:tcPr>
            <w:tcW w:type="dxa" w:w="1412"/>
            <w:shd w:val="clear" w:color="auto" w:fill="1b4965"/>
          </w:tcPr>
          <w:p>
            <w:pPr>
              <w:keepNext/>
              <w:spacing w:after="0" w:before="0"/>
              <w:jc w:val="right"/>
            </w:pPr>
            <w:r/>
            <w:r>
              <w:rPr>
                <w:b/>
                <w:color w:val="FFFFFF"/>
                <w:sz w:val="17"/>
              </w:rPr>
              <w:t>Area (ha)</w:t>
            </w:r>
          </w:p>
        </w:tc>
        <w:tc>
          <w:tcPr>
            <w:tcW w:type="dxa" w:w="1513"/>
            <w:shd w:val="clear" w:color="auto" w:fill="1b4965"/>
          </w:tcPr>
          <w:p>
            <w:pPr>
              <w:keepNext/>
              <w:spacing w:after="0" w:before="0"/>
              <w:jc w:val="right"/>
            </w:pPr>
            <w:r/>
            <w:r>
              <w:rPr>
                <w:b/>
                <w:color w:val="FFFFFF"/>
                <w:sz w:val="17"/>
              </w:rPr>
              <w:t>Share of valid area</w:t>
            </w:r>
          </w:p>
        </w:tc>
        <w:tc>
          <w:tcPr>
            <w:tcW w:type="dxa" w:w="1312"/>
            <w:shd w:val="clear" w:color="auto" w:fill="1b4965"/>
          </w:tcPr>
          <w:p>
            <w:pPr>
              <w:keepNext/>
              <w:spacing w:after="0" w:before="0"/>
              <w:jc w:val="right"/>
            </w:pPr>
            <w:r/>
            <w:r>
              <w:rPr>
                <w:b/>
                <w:color w:val="FFFFFF"/>
                <w:sz w:val="17"/>
              </w:rPr>
              <w:t>Share of AOI</w:t>
            </w:r>
          </w:p>
        </w:tc>
      </w:tr>
      <w:tr>
        <w:trPr>
          <w:cantSplit/>
        </w:trPr>
        <w:tc>
          <w:tcPr>
            <w:tcW w:type="dxa" w:w="255"/>
            <w:shd w:val="clear" w:color="auto" w:fill="d9dee3"/>
          </w:tcPr>
          <w:p>
            <w:pPr>
              <w:keepNext/>
              <w:spacing w:after="0" w:before="0"/>
              <w:jc w:val="left"/>
            </w:pPr>
            <w:r/>
            <w:r>
              <w:rPr>
                <w:b w:val="0"/>
                <w:color w:val="1F2933"/>
                <w:sz w:val="17"/>
              </w:rPr>
            </w:r>
          </w:p>
        </w:tc>
        <w:tc>
          <w:tcPr>
            <w:tcW w:type="dxa" w:w="3027"/>
          </w:tcPr>
          <w:p>
            <w:pPr>
              <w:keepNext/>
              <w:spacing w:after="0" w:before="0"/>
              <w:jc w:val="left"/>
            </w:pPr>
            <w:r/>
            <w:r>
              <w:rPr>
                <w:b w:val="0"/>
                <w:color w:val="1F2933"/>
                <w:sz w:val="17"/>
              </w:rPr>
              <w:t>Not built</w:t>
            </w:r>
          </w:p>
        </w:tc>
        <w:tc>
          <w:tcPr>
            <w:tcW w:type="dxa" w:w="807"/>
          </w:tcPr>
          <w:p>
            <w:pPr>
              <w:keepNext/>
              <w:spacing w:after="0" w:before="0"/>
              <w:jc w:val="right"/>
            </w:pPr>
            <w:r/>
            <w:r>
              <w:rPr>
                <w:b w:val="0"/>
                <w:color w:val="1F2933"/>
                <w:sz w:val="17"/>
              </w:rPr>
              <w:t>0</w:t>
            </w:r>
          </w:p>
        </w:tc>
        <w:tc>
          <w:tcPr>
            <w:tcW w:type="dxa" w:w="1312"/>
          </w:tcPr>
          <w:p>
            <w:pPr>
              <w:keepNext/>
              <w:spacing w:after="0" w:before="0"/>
              <w:jc w:val="right"/>
            </w:pPr>
            <w:r/>
            <w:r>
              <w:rPr>
                <w:b w:val="0"/>
                <w:color w:val="1F2933"/>
                <w:sz w:val="17"/>
              </w:rPr>
              <w:t>9,173</w:t>
            </w:r>
          </w:p>
        </w:tc>
        <w:tc>
          <w:tcPr>
            <w:tcW w:type="dxa" w:w="1412"/>
          </w:tcPr>
          <w:p>
            <w:pPr>
              <w:keepNext/>
              <w:spacing w:after="0" w:before="0"/>
              <w:jc w:val="right"/>
            </w:pPr>
            <w:r/>
            <w:r>
              <w:rPr>
                <w:b w:val="0"/>
                <w:color w:val="1F2933"/>
                <w:sz w:val="17"/>
              </w:rPr>
              <w:t>91.7</w:t>
            </w:r>
          </w:p>
        </w:tc>
        <w:tc>
          <w:tcPr>
            <w:tcW w:type="dxa" w:w="1513"/>
          </w:tcPr>
          <w:p>
            <w:pPr>
              <w:keepNext/>
              <w:spacing w:after="0" w:before="0"/>
              <w:jc w:val="right"/>
            </w:pPr>
            <w:r/>
            <w:r>
              <w:rPr>
                <w:b w:val="0"/>
                <w:color w:val="1F2933"/>
                <w:sz w:val="17"/>
              </w:rPr>
              <w:t>32.7 %</w:t>
            </w:r>
          </w:p>
        </w:tc>
        <w:tc>
          <w:tcPr>
            <w:tcW w:type="dxa" w:w="1312"/>
          </w:tcPr>
          <w:p>
            <w:pPr>
              <w:keepNext/>
              <w:spacing w:after="0" w:before="0"/>
              <w:jc w:val="right"/>
            </w:pPr>
            <w:r/>
            <w:r>
              <w:rPr>
                <w:b w:val="0"/>
                <w:color w:val="1F2933"/>
                <w:sz w:val="17"/>
              </w:rPr>
              <w:t>32.7 %</w:t>
            </w:r>
          </w:p>
        </w:tc>
      </w:tr>
      <w:tr>
        <w:trPr>
          <w:cantSplit/>
        </w:trPr>
        <w:tc>
          <w:tcPr>
            <w:tcW w:type="dxa" w:w="255"/>
            <w:shd w:val="clear" w:color="auto" w:fill="8d99a6"/>
          </w:tcPr>
          <w:p>
            <w:pPr>
              <w:keepNext/>
              <w:spacing w:after="0" w:before="0"/>
              <w:jc w:val="left"/>
            </w:pPr>
            <w:r/>
            <w:r>
              <w:rPr>
                <w:b w:val="0"/>
                <w:color w:val="1F2933"/>
                <w:sz w:val="17"/>
              </w:rPr>
            </w:r>
          </w:p>
        </w:tc>
        <w:tc>
          <w:tcPr>
            <w:tcW w:type="dxa" w:w="3027"/>
            <w:shd w:val="clear" w:color="auto" w:fill="f5f7f9"/>
          </w:tcPr>
          <w:p>
            <w:pPr>
              <w:keepNext/>
              <w:spacing w:after="0" w:before="0"/>
              <w:jc w:val="left"/>
            </w:pPr>
            <w:r/>
            <w:r>
              <w:rPr>
                <w:b w:val="0"/>
                <w:color w:val="1F2933"/>
                <w:sz w:val="17"/>
              </w:rPr>
              <w:t>Built in both years</w:t>
            </w:r>
          </w:p>
        </w:tc>
        <w:tc>
          <w:tcPr>
            <w:tcW w:type="dxa" w:w="807"/>
            <w:shd w:val="clear" w:color="auto" w:fill="f5f7f9"/>
          </w:tcPr>
          <w:p>
            <w:pPr>
              <w:keepNext/>
              <w:spacing w:after="0" w:before="0"/>
              <w:jc w:val="right"/>
            </w:pPr>
            <w:r/>
            <w:r>
              <w:rPr>
                <w:b w:val="0"/>
                <w:color w:val="1F2933"/>
                <w:sz w:val="17"/>
              </w:rPr>
              <w:t>1</w:t>
            </w:r>
          </w:p>
        </w:tc>
        <w:tc>
          <w:tcPr>
            <w:tcW w:type="dxa" w:w="1312"/>
            <w:shd w:val="clear" w:color="auto" w:fill="f5f7f9"/>
          </w:tcPr>
          <w:p>
            <w:pPr>
              <w:keepNext/>
              <w:spacing w:after="0" w:before="0"/>
              <w:jc w:val="right"/>
            </w:pPr>
            <w:r/>
            <w:r>
              <w:rPr>
                <w:b w:val="0"/>
                <w:color w:val="1F2933"/>
                <w:sz w:val="17"/>
              </w:rPr>
              <w:t>16,089</w:t>
            </w:r>
          </w:p>
        </w:tc>
        <w:tc>
          <w:tcPr>
            <w:tcW w:type="dxa" w:w="1412"/>
            <w:shd w:val="clear" w:color="auto" w:fill="f5f7f9"/>
          </w:tcPr>
          <w:p>
            <w:pPr>
              <w:keepNext/>
              <w:spacing w:after="0" w:before="0"/>
              <w:jc w:val="right"/>
            </w:pPr>
            <w:r/>
            <w:r>
              <w:rPr>
                <w:b w:val="0"/>
                <w:color w:val="1F2933"/>
                <w:sz w:val="17"/>
              </w:rPr>
              <w:t>160.9</w:t>
            </w:r>
          </w:p>
        </w:tc>
        <w:tc>
          <w:tcPr>
            <w:tcW w:type="dxa" w:w="1513"/>
            <w:shd w:val="clear" w:color="auto" w:fill="f5f7f9"/>
          </w:tcPr>
          <w:p>
            <w:pPr>
              <w:keepNext/>
              <w:spacing w:after="0" w:before="0"/>
              <w:jc w:val="right"/>
            </w:pPr>
            <w:r/>
            <w:r>
              <w:rPr>
                <w:b w:val="0"/>
                <w:color w:val="1F2933"/>
                <w:sz w:val="17"/>
              </w:rPr>
              <w:t>57.3 %</w:t>
            </w:r>
          </w:p>
        </w:tc>
        <w:tc>
          <w:tcPr>
            <w:tcW w:type="dxa" w:w="1312"/>
            <w:shd w:val="clear" w:color="auto" w:fill="f5f7f9"/>
          </w:tcPr>
          <w:p>
            <w:pPr>
              <w:keepNext/>
              <w:spacing w:after="0" w:before="0"/>
              <w:jc w:val="right"/>
            </w:pPr>
            <w:r/>
            <w:r>
              <w:rPr>
                <w:b w:val="0"/>
                <w:color w:val="1F2933"/>
                <w:sz w:val="17"/>
              </w:rPr>
              <w:t>57.3 %</w:t>
            </w:r>
          </w:p>
        </w:tc>
      </w:tr>
      <w:tr>
        <w:trPr>
          <w:cantSplit/>
        </w:trPr>
        <w:tc>
          <w:tcPr>
            <w:tcW w:type="dxa" w:w="255"/>
            <w:shd w:val="clear" w:color="auto" w:fill="d7301f"/>
          </w:tcPr>
          <w:p>
            <w:pPr>
              <w:keepNext/>
              <w:spacing w:after="0" w:before="0"/>
              <w:jc w:val="left"/>
            </w:pPr>
            <w:r/>
            <w:r>
              <w:rPr>
                <w:b w:val="0"/>
                <w:color w:val="1F2933"/>
                <w:sz w:val="17"/>
              </w:rPr>
            </w:r>
          </w:p>
        </w:tc>
        <w:tc>
          <w:tcPr>
            <w:tcW w:type="dxa" w:w="3027"/>
          </w:tcPr>
          <w:p>
            <w:pPr>
              <w:keepNext/>
              <w:spacing w:after="0" w:before="0"/>
              <w:jc w:val="left"/>
            </w:pPr>
            <w:r/>
            <w:r>
              <w:rPr>
                <w:b w:val="0"/>
                <w:color w:val="1F2933"/>
                <w:sz w:val="17"/>
              </w:rPr>
              <w:t>New built area</w:t>
            </w:r>
          </w:p>
        </w:tc>
        <w:tc>
          <w:tcPr>
            <w:tcW w:type="dxa" w:w="807"/>
          </w:tcPr>
          <w:p>
            <w:pPr>
              <w:keepNext/>
              <w:spacing w:after="0" w:before="0"/>
              <w:jc w:val="right"/>
            </w:pPr>
            <w:r/>
            <w:r>
              <w:rPr>
                <w:b w:val="0"/>
                <w:color w:val="1F2933"/>
                <w:sz w:val="17"/>
              </w:rPr>
              <w:t>2</w:t>
            </w:r>
          </w:p>
        </w:tc>
        <w:tc>
          <w:tcPr>
            <w:tcW w:type="dxa" w:w="1312"/>
          </w:tcPr>
          <w:p>
            <w:pPr>
              <w:keepNext/>
              <w:spacing w:after="0" w:before="0"/>
              <w:jc w:val="right"/>
            </w:pPr>
            <w:r/>
            <w:r>
              <w:rPr>
                <w:b w:val="0"/>
                <w:color w:val="1F2933"/>
                <w:sz w:val="17"/>
              </w:rPr>
              <w:t>1,677</w:t>
            </w:r>
          </w:p>
        </w:tc>
        <w:tc>
          <w:tcPr>
            <w:tcW w:type="dxa" w:w="1412"/>
          </w:tcPr>
          <w:p>
            <w:pPr>
              <w:keepNext/>
              <w:spacing w:after="0" w:before="0"/>
              <w:jc w:val="right"/>
            </w:pPr>
            <w:r/>
            <w:r>
              <w:rPr>
                <w:b w:val="0"/>
                <w:color w:val="1F2933"/>
                <w:sz w:val="17"/>
              </w:rPr>
              <w:t>16.8</w:t>
            </w:r>
          </w:p>
        </w:tc>
        <w:tc>
          <w:tcPr>
            <w:tcW w:type="dxa" w:w="1513"/>
          </w:tcPr>
          <w:p>
            <w:pPr>
              <w:keepNext/>
              <w:spacing w:after="0" w:before="0"/>
              <w:jc w:val="right"/>
            </w:pPr>
            <w:r/>
            <w:r>
              <w:rPr>
                <w:b w:val="0"/>
                <w:color w:val="1F2933"/>
                <w:sz w:val="17"/>
              </w:rPr>
              <w:t>6.0 %</w:t>
            </w:r>
          </w:p>
        </w:tc>
        <w:tc>
          <w:tcPr>
            <w:tcW w:type="dxa" w:w="1312"/>
          </w:tcPr>
          <w:p>
            <w:pPr>
              <w:keepNext/>
              <w:spacing w:after="0" w:before="0"/>
              <w:jc w:val="right"/>
            </w:pPr>
            <w:r/>
            <w:r>
              <w:rPr>
                <w:b w:val="0"/>
                <w:color w:val="1F2933"/>
                <w:sz w:val="17"/>
              </w:rPr>
              <w:t>6.0 %</w:t>
            </w:r>
          </w:p>
        </w:tc>
      </w:tr>
      <w:tr>
        <w:trPr>
          <w:cantSplit/>
        </w:trPr>
        <w:tc>
          <w:tcPr>
            <w:tcW w:type="dxa" w:w="255"/>
            <w:shd w:val="clear" w:color="auto" w:fill="2b83ba"/>
          </w:tcPr>
          <w:p>
            <w:pPr>
              <w:keepNext/>
              <w:spacing w:after="0" w:before="0"/>
              <w:jc w:val="left"/>
            </w:pPr>
            <w:r/>
            <w:r>
              <w:rPr>
                <w:b w:val="0"/>
                <w:color w:val="1F2933"/>
                <w:sz w:val="17"/>
              </w:rPr>
            </w:r>
          </w:p>
        </w:tc>
        <w:tc>
          <w:tcPr>
            <w:tcW w:type="dxa" w:w="3027"/>
            <w:shd w:val="clear" w:color="auto" w:fill="f5f7f9"/>
          </w:tcPr>
          <w:p>
            <w:pPr>
              <w:keepNext/>
              <w:spacing w:after="0" w:before="0"/>
              <w:jc w:val="left"/>
            </w:pPr>
            <w:r/>
            <w:r>
              <w:rPr>
                <w:b w:val="0"/>
                <w:color w:val="1F2933"/>
                <w:sz w:val="17"/>
              </w:rPr>
              <w:t>Built area lost</w:t>
            </w:r>
          </w:p>
        </w:tc>
        <w:tc>
          <w:tcPr>
            <w:tcW w:type="dxa" w:w="807"/>
            <w:shd w:val="clear" w:color="auto" w:fill="f5f7f9"/>
          </w:tcPr>
          <w:p>
            <w:pPr>
              <w:keepNext/>
              <w:spacing w:after="0" w:before="0"/>
              <w:jc w:val="right"/>
            </w:pPr>
            <w:r/>
            <w:r>
              <w:rPr>
                <w:b w:val="0"/>
                <w:color w:val="1F2933"/>
                <w:sz w:val="17"/>
              </w:rPr>
              <w:t>3</w:t>
            </w:r>
          </w:p>
        </w:tc>
        <w:tc>
          <w:tcPr>
            <w:tcW w:type="dxa" w:w="1312"/>
            <w:shd w:val="clear" w:color="auto" w:fill="f5f7f9"/>
          </w:tcPr>
          <w:p>
            <w:pPr>
              <w:keepNext/>
              <w:spacing w:after="0" w:before="0"/>
              <w:jc w:val="right"/>
            </w:pPr>
            <w:r/>
            <w:r>
              <w:rPr>
                <w:b w:val="0"/>
                <w:color w:val="1F2933"/>
                <w:sz w:val="17"/>
              </w:rPr>
              <w:t>1,117</w:t>
            </w:r>
          </w:p>
        </w:tc>
        <w:tc>
          <w:tcPr>
            <w:tcW w:type="dxa" w:w="1412"/>
            <w:shd w:val="clear" w:color="auto" w:fill="f5f7f9"/>
          </w:tcPr>
          <w:p>
            <w:pPr>
              <w:keepNext/>
              <w:spacing w:after="0" w:before="0"/>
              <w:jc w:val="right"/>
            </w:pPr>
            <w:r/>
            <w:r>
              <w:rPr>
                <w:b w:val="0"/>
                <w:color w:val="1F2933"/>
                <w:sz w:val="17"/>
              </w:rPr>
              <w:t>11.2</w:t>
            </w:r>
          </w:p>
        </w:tc>
        <w:tc>
          <w:tcPr>
            <w:tcW w:type="dxa" w:w="1513"/>
            <w:shd w:val="clear" w:color="auto" w:fill="f5f7f9"/>
          </w:tcPr>
          <w:p>
            <w:pPr>
              <w:keepNext/>
              <w:spacing w:after="0" w:before="0"/>
              <w:jc w:val="right"/>
            </w:pPr>
            <w:r/>
            <w:r>
              <w:rPr>
                <w:b w:val="0"/>
                <w:color w:val="1F2933"/>
                <w:sz w:val="17"/>
              </w:rPr>
              <w:t>4.0 %</w:t>
            </w:r>
          </w:p>
        </w:tc>
        <w:tc>
          <w:tcPr>
            <w:tcW w:type="dxa" w:w="1312"/>
            <w:shd w:val="clear" w:color="auto" w:fill="f5f7f9"/>
          </w:tcPr>
          <w:p>
            <w:pPr>
              <w:keepNext/>
              <w:spacing w:after="0" w:before="0"/>
              <w:jc w:val="right"/>
            </w:pPr>
            <w:r/>
            <w:r>
              <w:rPr>
                <w:b w:val="0"/>
                <w:color w:val="1F2933"/>
                <w:sz w:val="17"/>
              </w:rPr>
              <w:t>4.0 %</w:t>
            </w:r>
          </w:p>
        </w:tc>
      </w:tr>
    </w:tbl>
    <w:p>
      <w:r>
        <w:rPr>
          <w:i/>
          <w:color w:val="52606D"/>
          <w:sz w:val="16"/>
        </w:rPr>
        <w:t>Valid area 280.6 ha of 280.6 ha (28,056 of 28,056 pixels). Areas are measured from the output raster.</w:t>
      </w:r>
    </w:p>
    <w:p>
      <w:pPr>
        <w:keepNext/>
        <w:spacing w:before="120"/>
      </w:pPr>
      <w:r>
        <w:rPr>
          <w:b/>
          <w:sz w:val="20"/>
        </w:rPr>
        <w:t>Key statistics (reported by the pipeline)</w:t>
      </w:r>
    </w:p>
    <w:tbl>
      <w:tblPr>
        <w:tblW w:type="auto" w:w="0"/>
        <w:jc w:val="center"/>
        <w:tblLayout w:type="fixed"/>
        <w:tblLook w:firstColumn="1" w:firstRow="1" w:lastColumn="0" w:lastRow="0" w:noHBand="0" w:noVBand="1" w:val="04A0"/>
        <w:tblCellMar>
          <w:top w:w="50" w:type="dxa"/>
          <w:left w:w="90" w:type="dxa"/>
          <w:bottom w:w="50" w:type="dxa"/>
          <w:right w:w="90" w:type="dxa"/>
        </w:tblCellMar>
      </w:tblPr>
      <w:tblGrid>
        <w:gridCol w:w="6286"/>
        <w:gridCol w:w="3352"/>
      </w:tblGrid>
      <w:tr>
        <w:trPr>
          <w:tblHeader w:val="true"/>
        </w:trPr>
        <w:tc>
          <w:tcPr>
            <w:tcW w:type="dxa" w:w="6286"/>
            <w:shd w:val="clear" w:color="auto" w:fill="1b4965"/>
          </w:tcPr>
          <w:p>
            <w:pPr>
              <w:keepNext/>
              <w:spacing w:after="0" w:before="0"/>
              <w:jc w:val="left"/>
            </w:pPr>
            <w:r/>
            <w:r>
              <w:rPr>
                <w:b/>
                <w:color w:val="FFFFFF"/>
                <w:sz w:val="17"/>
              </w:rPr>
              <w:t>Measure</w:t>
            </w:r>
          </w:p>
        </w:tc>
        <w:tc>
          <w:tcPr>
            <w:tcW w:type="dxa" w:w="3352"/>
            <w:shd w:val="clear" w:color="auto" w:fill="1b4965"/>
          </w:tcPr>
          <w:p>
            <w:pPr>
              <w:keepNext/>
              <w:spacing w:after="0" w:before="0"/>
              <w:jc w:val="right"/>
            </w:pPr>
            <w:r/>
            <w:r>
              <w:rPr>
                <w:b/>
                <w:color w:val="FFFFFF"/>
                <w:sz w:val="17"/>
              </w:rPr>
              <w:t>Value</w:t>
            </w:r>
          </w:p>
        </w:tc>
      </w:tr>
      <w:tr>
        <w:trPr>
          <w:cantSplit/>
        </w:trPr>
        <w:tc>
          <w:tcPr>
            <w:tcW w:type="dxa" w:w="6286"/>
          </w:tcPr>
          <w:p>
            <w:pPr>
              <w:keepNext/>
              <w:spacing w:after="0" w:before="0"/>
              <w:jc w:val="left"/>
            </w:pPr>
            <w:r/>
            <w:r>
              <w:rPr>
                <w:b w:val="0"/>
                <w:color w:val="1F2933"/>
                <w:sz w:val="17"/>
              </w:rPr>
              <w:t>Built area, first year</w:t>
            </w:r>
          </w:p>
        </w:tc>
        <w:tc>
          <w:tcPr>
            <w:tcW w:type="dxa" w:w="3352"/>
          </w:tcPr>
          <w:p>
            <w:pPr>
              <w:keepNext/>
              <w:spacing w:after="0" w:before="0"/>
              <w:jc w:val="right"/>
            </w:pPr>
            <w:r/>
            <w:r>
              <w:rPr>
                <w:b w:val="0"/>
                <w:color w:val="1F2933"/>
                <w:sz w:val="17"/>
              </w:rPr>
              <w:t>172.1 ha</w:t>
            </w:r>
          </w:p>
        </w:tc>
      </w:tr>
      <w:tr>
        <w:trPr>
          <w:cantSplit/>
        </w:trPr>
        <w:tc>
          <w:tcPr>
            <w:tcW w:type="dxa" w:w="6286"/>
            <w:shd w:val="clear" w:color="auto" w:fill="f5f7f9"/>
          </w:tcPr>
          <w:p>
            <w:pPr>
              <w:keepNext/>
              <w:spacing w:after="0" w:before="0"/>
              <w:jc w:val="left"/>
            </w:pPr>
            <w:r/>
            <w:r>
              <w:rPr>
                <w:b w:val="0"/>
                <w:color w:val="1F2933"/>
                <w:sz w:val="17"/>
              </w:rPr>
              <w:t>Built area, second year</w:t>
            </w:r>
          </w:p>
        </w:tc>
        <w:tc>
          <w:tcPr>
            <w:tcW w:type="dxa" w:w="3352"/>
            <w:shd w:val="clear" w:color="auto" w:fill="f5f7f9"/>
          </w:tcPr>
          <w:p>
            <w:pPr>
              <w:keepNext/>
              <w:spacing w:after="0" w:before="0"/>
              <w:jc w:val="right"/>
            </w:pPr>
            <w:r/>
            <w:r>
              <w:rPr>
                <w:b w:val="0"/>
                <w:color w:val="1F2933"/>
                <w:sz w:val="17"/>
              </w:rPr>
              <w:t>177.7 ha</w:t>
            </w:r>
          </w:p>
        </w:tc>
      </w:tr>
      <w:tr>
        <w:trPr>
          <w:cantSplit/>
        </w:trPr>
        <w:tc>
          <w:tcPr>
            <w:tcW w:type="dxa" w:w="6286"/>
          </w:tcPr>
          <w:p>
            <w:pPr>
              <w:keepNext/>
              <w:spacing w:after="0" w:before="0"/>
              <w:jc w:val="left"/>
            </w:pPr>
            <w:r/>
            <w:r>
              <w:rPr>
                <w:b w:val="0"/>
                <w:color w:val="1F2933"/>
                <w:sz w:val="17"/>
              </w:rPr>
              <w:t>Gross gain</w:t>
            </w:r>
          </w:p>
        </w:tc>
        <w:tc>
          <w:tcPr>
            <w:tcW w:type="dxa" w:w="3352"/>
          </w:tcPr>
          <w:p>
            <w:pPr>
              <w:keepNext/>
              <w:spacing w:after="0" w:before="0"/>
              <w:jc w:val="right"/>
            </w:pPr>
            <w:r/>
            <w:r>
              <w:rPr>
                <w:b w:val="0"/>
                <w:color w:val="1F2933"/>
                <w:sz w:val="17"/>
              </w:rPr>
              <w:t>16.8 ha</w:t>
            </w:r>
          </w:p>
        </w:tc>
      </w:tr>
      <w:tr>
        <w:trPr>
          <w:cantSplit/>
        </w:trPr>
        <w:tc>
          <w:tcPr>
            <w:tcW w:type="dxa" w:w="6286"/>
            <w:shd w:val="clear" w:color="auto" w:fill="f5f7f9"/>
          </w:tcPr>
          <w:p>
            <w:pPr>
              <w:keepNext/>
              <w:spacing w:after="0" w:before="0"/>
              <w:jc w:val="left"/>
            </w:pPr>
            <w:r/>
            <w:r>
              <w:rPr>
                <w:b w:val="0"/>
                <w:color w:val="1F2933"/>
                <w:sz w:val="17"/>
              </w:rPr>
              <w:t>Gross loss</w:t>
            </w:r>
          </w:p>
        </w:tc>
        <w:tc>
          <w:tcPr>
            <w:tcW w:type="dxa" w:w="3352"/>
            <w:shd w:val="clear" w:color="auto" w:fill="f5f7f9"/>
          </w:tcPr>
          <w:p>
            <w:pPr>
              <w:keepNext/>
              <w:spacing w:after="0" w:before="0"/>
              <w:jc w:val="right"/>
            </w:pPr>
            <w:r/>
            <w:r>
              <w:rPr>
                <w:b w:val="0"/>
                <w:color w:val="1F2933"/>
                <w:sz w:val="17"/>
              </w:rPr>
              <w:t>11.2 ha</w:t>
            </w:r>
          </w:p>
        </w:tc>
      </w:tr>
      <w:tr>
        <w:trPr>
          <w:cantSplit/>
        </w:trPr>
        <w:tc>
          <w:tcPr>
            <w:tcW w:type="dxa" w:w="6286"/>
          </w:tcPr>
          <w:p>
            <w:pPr>
              <w:keepNext/>
              <w:spacing w:after="0" w:before="0"/>
              <w:jc w:val="left"/>
            </w:pPr>
            <w:r/>
            <w:r>
              <w:rPr>
                <w:b w:val="0"/>
                <w:color w:val="1F2933"/>
                <w:sz w:val="17"/>
              </w:rPr>
              <w:t>Net change</w:t>
            </w:r>
          </w:p>
        </w:tc>
        <w:tc>
          <w:tcPr>
            <w:tcW w:type="dxa" w:w="3352"/>
          </w:tcPr>
          <w:p>
            <w:pPr>
              <w:keepNext/>
              <w:spacing w:after="0" w:before="0"/>
              <w:jc w:val="right"/>
            </w:pPr>
            <w:r/>
            <w:r>
              <w:rPr>
                <w:b w:val="0"/>
                <w:color w:val="1F2933"/>
                <w:sz w:val="17"/>
              </w:rPr>
              <w:t>5.6 ha</w:t>
            </w:r>
          </w:p>
        </w:tc>
      </w:tr>
      <w:tr>
        <w:trPr>
          <w:cantSplit/>
        </w:trPr>
        <w:tc>
          <w:tcPr>
            <w:tcW w:type="dxa" w:w="6286"/>
            <w:shd w:val="clear" w:color="auto" w:fill="f5f7f9"/>
          </w:tcPr>
          <w:p>
            <w:pPr>
              <w:keepNext/>
              <w:spacing w:after="0" w:before="0"/>
              <w:jc w:val="left"/>
            </w:pPr>
            <w:r/>
            <w:r>
              <w:rPr>
                <w:b w:val="0"/>
                <w:color w:val="1F2933"/>
                <w:sz w:val="17"/>
              </w:rPr>
              <w:t>Built share, first year</w:t>
            </w:r>
          </w:p>
        </w:tc>
        <w:tc>
          <w:tcPr>
            <w:tcW w:type="dxa" w:w="3352"/>
            <w:shd w:val="clear" w:color="auto" w:fill="f5f7f9"/>
          </w:tcPr>
          <w:p>
            <w:pPr>
              <w:keepNext/>
              <w:spacing w:after="0" w:before="0"/>
              <w:jc w:val="right"/>
            </w:pPr>
            <w:r/>
            <w:r>
              <w:rPr>
                <w:b w:val="0"/>
                <w:color w:val="1F2933"/>
                <w:sz w:val="17"/>
              </w:rPr>
              <w:t>61.3 %</w:t>
            </w:r>
          </w:p>
        </w:tc>
      </w:tr>
      <w:tr>
        <w:trPr>
          <w:cantSplit/>
        </w:trPr>
        <w:tc>
          <w:tcPr>
            <w:tcW w:type="dxa" w:w="6286"/>
          </w:tcPr>
          <w:p>
            <w:pPr>
              <w:keepNext/>
              <w:spacing w:after="0" w:before="0"/>
              <w:jc w:val="left"/>
            </w:pPr>
            <w:r/>
            <w:r>
              <w:rPr>
                <w:b w:val="0"/>
                <w:color w:val="1F2933"/>
                <w:sz w:val="17"/>
              </w:rPr>
              <w:t>Built share, second year</w:t>
            </w:r>
          </w:p>
        </w:tc>
        <w:tc>
          <w:tcPr>
            <w:tcW w:type="dxa" w:w="3352"/>
          </w:tcPr>
          <w:p>
            <w:pPr>
              <w:keepNext/>
              <w:spacing w:after="0" w:before="0"/>
              <w:jc w:val="right"/>
            </w:pPr>
            <w:r/>
            <w:r>
              <w:rPr>
                <w:b w:val="0"/>
                <w:color w:val="1F2933"/>
                <w:sz w:val="17"/>
              </w:rPr>
              <w:t>63.3 %</w:t>
            </w:r>
          </w:p>
        </w:tc>
      </w:tr>
      <w:tr>
        <w:trPr>
          <w:cantSplit/>
        </w:trPr>
        <w:tc>
          <w:tcPr>
            <w:tcW w:type="dxa" w:w="6286"/>
            <w:shd w:val="clear" w:color="auto" w:fill="f5f7f9"/>
          </w:tcPr>
          <w:p>
            <w:pPr>
              <w:keepNext/>
              <w:spacing w:after="0" w:before="0"/>
              <w:jc w:val="left"/>
            </w:pPr>
            <w:r/>
            <w:r>
              <w:rPr>
                <w:b w:val="0"/>
                <w:color w:val="1F2933"/>
                <w:sz w:val="17"/>
              </w:rPr>
              <w:t>Compound annual growth of built area</w:t>
            </w:r>
          </w:p>
        </w:tc>
        <w:tc>
          <w:tcPr>
            <w:tcW w:type="dxa" w:w="3352"/>
            <w:shd w:val="clear" w:color="auto" w:fill="f5f7f9"/>
          </w:tcPr>
          <w:p>
            <w:pPr>
              <w:keepNext/>
              <w:spacing w:after="0" w:before="0"/>
              <w:jc w:val="right"/>
            </w:pPr>
            <w:r/>
            <w:r>
              <w:rPr>
                <w:b w:val="0"/>
                <w:color w:val="1F2933"/>
                <w:sz w:val="17"/>
              </w:rPr>
              <w:t>1.1 %</w:t>
            </w:r>
          </w:p>
        </w:tc>
      </w:tr>
      <w:tr>
        <w:trPr>
          <w:cantSplit/>
        </w:trPr>
        <w:tc>
          <w:tcPr>
            <w:tcW w:type="dxa" w:w="6286"/>
          </w:tcPr>
          <w:p>
            <w:pPr>
              <w:keepNext/>
              <w:spacing w:after="0" w:before="0"/>
              <w:jc w:val="left"/>
            </w:pPr>
            <w:r/>
            <w:r>
              <w:rPr>
                <w:b w:val="0"/>
                <w:color w:val="1F2933"/>
                <w:sz w:val="17"/>
              </w:rPr>
              <w:t>Valid share of the area</w:t>
            </w:r>
          </w:p>
        </w:tc>
        <w:tc>
          <w:tcPr>
            <w:tcW w:type="dxa" w:w="3352"/>
          </w:tcPr>
          <w:p>
            <w:pPr>
              <w:keepNext/>
              <w:spacing w:after="0" w:before="0"/>
              <w:jc w:val="right"/>
            </w:pPr>
            <w:r/>
            <w:r>
              <w:rPr>
                <w:b w:val="0"/>
                <w:color w:val="1F2933"/>
                <w:sz w:val="17"/>
              </w:rPr>
              <w:t>100.0 %</w:t>
            </w:r>
          </w:p>
        </w:tc>
      </w:tr>
    </w:tbl>
    <w:p>
      <w:pPr>
        <w:spacing w:after="40"/>
      </w:pPr>
    </w:p>
    <w:p>
      <w:pPr>
        <w:keepNext/>
        <w:spacing w:before="120"/>
      </w:pPr>
      <w:r>
        <w:rPr>
          <w:b/>
          <w:sz w:val="20"/>
        </w:rPr>
        <w:t>Other statistics</w:t>
      </w:r>
    </w:p>
    <w:tbl>
      <w:tblPr>
        <w:tblW w:type="auto" w:w="0"/>
        <w:jc w:val="center"/>
        <w:tblLayout w:type="fixed"/>
        <w:tblLook w:firstColumn="1" w:firstRow="1" w:lastColumn="0" w:lastRow="0" w:noHBand="0" w:noVBand="1" w:val="04A0"/>
        <w:tblCellMar>
          <w:top w:w="50" w:type="dxa"/>
          <w:left w:w="90" w:type="dxa"/>
          <w:bottom w:w="50" w:type="dxa"/>
          <w:right w:w="90" w:type="dxa"/>
        </w:tblCellMar>
      </w:tblPr>
      <w:tblGrid>
        <w:gridCol w:w="6286"/>
        <w:gridCol w:w="3352"/>
      </w:tblGrid>
      <w:tr>
        <w:trPr>
          <w:tblHeader w:val="true"/>
        </w:trPr>
        <w:tc>
          <w:tcPr>
            <w:tcW w:type="dxa" w:w="6286"/>
            <w:shd w:val="clear" w:color="auto" w:fill="1b4965"/>
          </w:tcPr>
          <w:p>
            <w:pPr>
              <w:keepNext/>
              <w:spacing w:after="0" w:before="0"/>
              <w:jc w:val="left"/>
            </w:pPr>
            <w:r/>
            <w:r>
              <w:rPr>
                <w:b/>
                <w:color w:val="FFFFFF"/>
                <w:sz w:val="17"/>
              </w:rPr>
              <w:t>Measure</w:t>
            </w:r>
          </w:p>
        </w:tc>
        <w:tc>
          <w:tcPr>
            <w:tcW w:type="dxa" w:w="3352"/>
            <w:shd w:val="clear" w:color="auto" w:fill="1b4965"/>
          </w:tcPr>
          <w:p>
            <w:pPr>
              <w:keepNext/>
              <w:spacing w:after="0" w:before="0"/>
              <w:jc w:val="right"/>
            </w:pPr>
            <w:r/>
            <w:r>
              <w:rPr>
                <w:b/>
                <w:color w:val="FFFFFF"/>
                <w:sz w:val="17"/>
              </w:rPr>
              <w:t>Value</w:t>
            </w:r>
          </w:p>
        </w:tc>
      </w:tr>
      <w:tr>
        <w:trPr>
          <w:cantSplit/>
        </w:trPr>
        <w:tc>
          <w:tcPr>
            <w:tcW w:type="dxa" w:w="6286"/>
          </w:tcPr>
          <w:p>
            <w:pPr>
              <w:keepNext/>
              <w:spacing w:after="0" w:before="0"/>
              <w:jc w:val="left"/>
            </w:pPr>
            <w:r/>
            <w:r>
              <w:rPr>
                <w:b w:val="0"/>
                <w:color w:val="1F2933"/>
                <w:sz w:val="17"/>
              </w:rPr>
              <w:t>Year before</w:t>
            </w:r>
          </w:p>
        </w:tc>
        <w:tc>
          <w:tcPr>
            <w:tcW w:type="dxa" w:w="3352"/>
          </w:tcPr>
          <w:p>
            <w:pPr>
              <w:keepNext/>
              <w:spacing w:after="0" w:before="0"/>
              <w:jc w:val="right"/>
            </w:pPr>
            <w:r/>
            <w:r>
              <w:rPr>
                <w:b w:val="0"/>
                <w:color w:val="1F2933"/>
                <w:sz w:val="17"/>
              </w:rPr>
              <w:t>2,020</w:t>
            </w:r>
          </w:p>
        </w:tc>
      </w:tr>
      <w:tr>
        <w:trPr>
          <w:cantSplit/>
        </w:trPr>
        <w:tc>
          <w:tcPr>
            <w:tcW w:type="dxa" w:w="6286"/>
            <w:shd w:val="clear" w:color="auto" w:fill="f5f7f9"/>
          </w:tcPr>
          <w:p>
            <w:pPr>
              <w:keepNext/>
              <w:spacing w:after="0" w:before="0"/>
              <w:jc w:val="left"/>
            </w:pPr>
            <w:r/>
            <w:r>
              <w:rPr>
                <w:b w:val="0"/>
                <w:color w:val="1F2933"/>
                <w:sz w:val="17"/>
              </w:rPr>
              <w:t>Year after</w:t>
            </w:r>
          </w:p>
        </w:tc>
        <w:tc>
          <w:tcPr>
            <w:tcW w:type="dxa" w:w="3352"/>
            <w:shd w:val="clear" w:color="auto" w:fill="f5f7f9"/>
          </w:tcPr>
          <w:p>
            <w:pPr>
              <w:keepNext/>
              <w:spacing w:after="0" w:before="0"/>
              <w:jc w:val="right"/>
            </w:pPr>
            <w:r/>
            <w:r>
              <w:rPr>
                <w:b w:val="0"/>
                <w:color w:val="1F2933"/>
                <w:sz w:val="17"/>
              </w:rPr>
              <w:t>2,023</w:t>
            </w:r>
          </w:p>
        </w:tc>
      </w:tr>
      <w:tr>
        <w:trPr>
          <w:cantSplit/>
        </w:trPr>
        <w:tc>
          <w:tcPr>
            <w:tcW w:type="dxa" w:w="6286"/>
          </w:tcPr>
          <w:p>
            <w:pPr>
              <w:keepNext/>
              <w:spacing w:after="0" w:before="0"/>
              <w:jc w:val="left"/>
            </w:pPr>
            <w:r/>
            <w:r>
              <w:rPr>
                <w:b w:val="0"/>
                <w:color w:val="1F2933"/>
                <w:sz w:val="17"/>
              </w:rPr>
              <w:t>Resolution m</w:t>
            </w:r>
          </w:p>
        </w:tc>
        <w:tc>
          <w:tcPr>
            <w:tcW w:type="dxa" w:w="3352"/>
          </w:tcPr>
          <w:p>
            <w:pPr>
              <w:keepNext/>
              <w:spacing w:after="0" w:before="0"/>
              <w:jc w:val="right"/>
            </w:pPr>
            <w:r/>
            <w:r>
              <w:rPr>
                <w:b w:val="0"/>
                <w:color w:val="1F2933"/>
                <w:sz w:val="17"/>
              </w:rPr>
              <w:t>10.000</w:t>
            </w:r>
          </w:p>
        </w:tc>
      </w:tr>
      <w:tr>
        <w:trPr>
          <w:cantSplit/>
        </w:trPr>
        <w:tc>
          <w:tcPr>
            <w:tcW w:type="dxa" w:w="6286"/>
            <w:shd w:val="clear" w:color="auto" w:fill="f5f7f9"/>
          </w:tcPr>
          <w:p>
            <w:pPr>
              <w:keepNext/>
              <w:spacing w:after="0" w:before="0"/>
              <w:jc w:val="left"/>
            </w:pPr>
            <w:r/>
            <w:r>
              <w:rPr>
                <w:b w:val="0"/>
                <w:color w:val="1F2933"/>
                <w:sz w:val="17"/>
              </w:rPr>
              <w:t>Resolution coarsened</w:t>
            </w:r>
          </w:p>
        </w:tc>
        <w:tc>
          <w:tcPr>
            <w:tcW w:type="dxa" w:w="3352"/>
            <w:shd w:val="clear" w:color="auto" w:fill="f5f7f9"/>
          </w:tcPr>
          <w:p>
            <w:pPr>
              <w:keepNext/>
              <w:spacing w:after="0" w:before="0"/>
              <w:jc w:val="right"/>
            </w:pPr>
            <w:r/>
            <w:r>
              <w:rPr>
                <w:b w:val="0"/>
                <w:color w:val="1F2933"/>
                <w:sz w:val="17"/>
              </w:rPr>
              <w:t>no</w:t>
            </w:r>
          </w:p>
        </w:tc>
      </w:tr>
    </w:tbl>
    <w:p>
      <w:pPr>
        <w:spacing w:after="40"/>
      </w:pPr>
    </w:p>
    <w:p>
      <w:pPr>
        <w:pStyle w:val="Heading1"/>
      </w:pPr>
      <w:r>
        <w:t>Method and parameters</w:t>
      </w:r>
    </w:p>
    <w:p>
      <w:r>
        <w:t>How much built-up area appeared or disappeared between two years?</w:t>
      </w:r>
    </w:p>
    <w:p>
      <w:r>
        <w:t>Built area is class 7 of the annual 10 m land-cover product (Impact Observatory / Esri, 2017-2023) on both dates.</w:t>
      </w:r>
    </w:p>
    <w:p>
      <w:r>
        <w:t>A pixel is 'new built' when it is built in the second year only, 'lost' when built in the first year only. Gross gain and loss are reported separately because each year is classified on its own.</w:t>
      </w:r>
    </w:p>
    <w:p>
      <w:r>
        <w:t>Pixels that are no-data or cloud in either year are nodata; percentages are over valid pixels.</w:t>
      </w:r>
    </w:p>
    <w:tbl>
      <w:tblPr>
        <w:tblW w:type="auto" w:w="0"/>
        <w:tblLayout w:type="fixed"/>
        <w:tblLook w:firstColumn="1" w:firstRow="1" w:lastColumn="0" w:lastRow="0" w:noHBand="0" w:noVBand="1" w:val="04A0"/>
        <w:tblCellMar>
          <w:top w:w="40" w:type="dxa"/>
          <w:left w:w="60" w:type="dxa"/>
          <w:bottom w:w="40" w:type="dxa"/>
          <w:right w:w="60" w:type="dxa"/>
        </w:tblCellMar>
      </w:tblPr>
      <w:tblGrid>
        <w:gridCol w:w="3288"/>
        <w:gridCol w:w="6350"/>
      </w:tblGrid>
      <w:tr>
        <w:trPr>
          <w:cantSplit/>
        </w:trPr>
        <w:tc>
          <w:tcPr>
            <w:tcW w:type="dxa" w:w="3288"/>
            <w:tcBorders>
              <w:bottom w:val="single" w:sz="4" w:color="d5dbe1"/>
            </w:tcBorders>
          </w:tcPr>
          <w:p>
            <w:pPr>
              <w:spacing w:after="0" w:before="0"/>
              <w:jc w:val="left"/>
            </w:pPr>
            <w:r/>
            <w:r>
              <w:rPr>
                <w:b w:val="0"/>
                <w:color w:val="52606D"/>
                <w:sz w:val="17"/>
              </w:rPr>
              <w:t>Pipeline</w:t>
            </w:r>
          </w:p>
        </w:tc>
        <w:tc>
          <w:tcPr>
            <w:tcW w:type="dxa" w:w="6350"/>
            <w:tcBorders>
              <w:bottom w:val="single" w:sz="4" w:color="d5dbe1"/>
            </w:tcBorders>
          </w:tcPr>
          <w:p>
            <w:pPr>
              <w:spacing w:after="0" w:before="0"/>
              <w:jc w:val="left"/>
            </w:pPr>
            <w:r/>
            <w:r>
              <w:rPr>
                <w:b w:val="0"/>
                <w:color w:val="1F2933"/>
                <w:sz w:val="18"/>
              </w:rPr>
              <w:t>urban_expansion</w:t>
            </w:r>
          </w:p>
        </w:tc>
      </w:tr>
      <w:tr>
        <w:trPr>
          <w:cantSplit/>
        </w:trPr>
        <w:tc>
          <w:tcPr>
            <w:tcW w:type="dxa" w:w="3288"/>
            <w:tcBorders>
              <w:bottom w:val="single" w:sz="4" w:color="d5dbe1"/>
            </w:tcBorders>
          </w:tcPr>
          <w:p>
            <w:pPr>
              <w:spacing w:after="0" w:before="0"/>
              <w:jc w:val="left"/>
            </w:pPr>
            <w:r/>
            <w:r>
              <w:rPr>
                <w:b w:val="0"/>
                <w:color w:val="52606D"/>
                <w:sz w:val="17"/>
              </w:rPr>
              <w:t>Area of interest</w:t>
            </w:r>
          </w:p>
        </w:tc>
        <w:tc>
          <w:tcPr>
            <w:tcW w:type="dxa" w:w="6350"/>
            <w:tcBorders>
              <w:bottom w:val="single" w:sz="4" w:color="d5dbe1"/>
            </w:tcBorders>
          </w:tcPr>
          <w:p>
            <w:pPr>
              <w:spacing w:after="0" w:before="0"/>
              <w:jc w:val="left"/>
            </w:pPr>
            <w:r/>
            <w:r>
              <w:rPr>
                <w:b w:val="0"/>
                <w:color w:val="1F2933"/>
                <w:sz w:val="18"/>
              </w:rPr>
              <w:t>-80.6250, -5.1800, -80.6100, -5.1650</w:t>
            </w:r>
          </w:p>
        </w:tc>
      </w:tr>
      <w:tr>
        <w:trPr>
          <w:cantSplit/>
        </w:trPr>
        <w:tc>
          <w:tcPr>
            <w:tcW w:type="dxa" w:w="3288"/>
            <w:tcBorders>
              <w:bottom w:val="single" w:sz="4" w:color="d5dbe1"/>
            </w:tcBorders>
          </w:tcPr>
          <w:p>
            <w:pPr>
              <w:spacing w:after="0" w:before="0"/>
              <w:jc w:val="left"/>
            </w:pPr>
            <w:r/>
            <w:r>
              <w:rPr>
                <w:b w:val="0"/>
                <w:color w:val="52606D"/>
                <w:sz w:val="17"/>
              </w:rPr>
              <w:t>date_after</w:t>
            </w:r>
          </w:p>
        </w:tc>
        <w:tc>
          <w:tcPr>
            <w:tcW w:type="dxa" w:w="6350"/>
            <w:tcBorders>
              <w:bottom w:val="single" w:sz="4" w:color="d5dbe1"/>
            </w:tcBorders>
          </w:tcPr>
          <w:p>
            <w:pPr>
              <w:spacing w:after="0" w:before="0"/>
              <w:jc w:val="left"/>
            </w:pPr>
            <w:r/>
            <w:r>
              <w:rPr>
                <w:b w:val="0"/>
                <w:color w:val="1F2933"/>
                <w:sz w:val="18"/>
              </w:rPr>
              <w:t>2023</w:t>
            </w:r>
          </w:p>
        </w:tc>
      </w:tr>
      <w:tr>
        <w:trPr>
          <w:cantSplit/>
        </w:trPr>
        <w:tc>
          <w:tcPr>
            <w:tcW w:type="dxa" w:w="3288"/>
            <w:tcBorders>
              <w:bottom w:val="single" w:sz="4" w:color="d5dbe1"/>
            </w:tcBorders>
          </w:tcPr>
          <w:p>
            <w:pPr>
              <w:spacing w:after="0" w:before="0"/>
              <w:jc w:val="left"/>
            </w:pPr>
            <w:r/>
            <w:r>
              <w:rPr>
                <w:b w:val="0"/>
                <w:color w:val="52606D"/>
                <w:sz w:val="17"/>
              </w:rPr>
              <w:t>date_before</w:t>
            </w:r>
          </w:p>
        </w:tc>
        <w:tc>
          <w:tcPr>
            <w:tcW w:type="dxa" w:w="6350"/>
            <w:tcBorders>
              <w:bottom w:val="single" w:sz="4" w:color="d5dbe1"/>
            </w:tcBorders>
          </w:tcPr>
          <w:p>
            <w:pPr>
              <w:spacing w:after="0" w:before="0"/>
              <w:jc w:val="left"/>
            </w:pPr>
            <w:r/>
            <w:r>
              <w:rPr>
                <w:b w:val="0"/>
                <w:color w:val="1F2933"/>
                <w:sz w:val="18"/>
              </w:rPr>
              <w:t>2020</w:t>
            </w:r>
          </w:p>
        </w:tc>
      </w:tr>
      <w:tr>
        <w:trPr>
          <w:cantSplit/>
        </w:trPr>
        <w:tc>
          <w:tcPr>
            <w:tcW w:type="dxa" w:w="3288"/>
            <w:tcBorders>
              <w:bottom w:val="single" w:sz="4" w:color="d5dbe1"/>
            </w:tcBorders>
          </w:tcPr>
          <w:p>
            <w:pPr>
              <w:spacing w:after="0" w:before="0"/>
              <w:jc w:val="left"/>
            </w:pPr>
            <w:r/>
            <w:r>
              <w:rPr>
                <w:b w:val="0"/>
                <w:color w:val="52606D"/>
                <w:sz w:val="17"/>
              </w:rPr>
              <w:t>period</w:t>
            </w:r>
          </w:p>
        </w:tc>
        <w:tc>
          <w:tcPr>
            <w:tcW w:type="dxa" w:w="6350"/>
            <w:tcBorders>
              <w:bottom w:val="single" w:sz="4" w:color="d5dbe1"/>
            </w:tcBorders>
          </w:tcPr>
          <w:p>
            <w:pPr>
              <w:spacing w:after="0" w:before="0"/>
              <w:jc w:val="left"/>
            </w:pPr>
            <w:r/>
            <w:r>
              <w:rPr>
                <w:b w:val="0"/>
                <w:color w:val="1F2933"/>
                <w:sz w:val="18"/>
              </w:rPr>
              <w:t>2020 to 2023</w:t>
            </w:r>
          </w:p>
        </w:tc>
      </w:tr>
    </w:tbl>
    <w:p>
      <w:pPr>
        <w:spacing w:after="40"/>
      </w:pPr>
    </w:p>
    <w:p>
      <w:pPr>
        <w:pStyle w:val="Heading1"/>
      </w:pPr>
      <w:r>
        <w:t>Interpretation and limitations</w:t>
      </w:r>
    </w:p>
    <w:p>
      <w:r>
        <w:t>How to read the result</w:t>
      </w:r>
    </w:p>
    <w:p>
      <w:pPr>
        <w:pStyle w:val="ListBullet"/>
      </w:pPr>
      <w:r>
        <w:t>'Built area lost' is more often classifier disagreement (roofs under trees, dust, construction sites) than demolition. Read the gross figures, not only the net.</w:t>
      </w:r>
    </w:p>
    <w:p>
      <w:r>
        <w:t>Limitations</w:t>
      </w:r>
    </w:p>
    <w:p>
      <w:pPr>
        <w:pStyle w:val="ListBullet"/>
      </w:pPr>
      <w:r>
        <w:t>At 10 m, individual houses and narrow streets are not resolved; small settlements are under-mapped.</w:t>
      </w:r>
    </w:p>
    <w:p>
      <w:pPr>
        <w:pStyle w:val="ListBullet"/>
      </w:pPr>
      <w:r>
        <w:t>This is a map product's change, not a validated change inventory.</w:t>
      </w:r>
    </w:p>
    <w:p>
      <w:pPr>
        <w:pStyle w:val="Heading1"/>
      </w:pPr>
      <w:r>
        <w:t>Deliverables</w:t>
      </w:r>
    </w:p>
    <w:p>
      <w:pPr>
        <w:keepNext/>
        <w:spacing w:before="120"/>
      </w:pPr>
      <w:r>
        <w:rPr>
          <w:b/>
          <w:sz w:val="20"/>
        </w:rPr>
        <w:t>Files</w:t>
      </w:r>
    </w:p>
    <w:tbl>
      <w:tblPr>
        <w:tblW w:type="auto" w:w="0"/>
        <w:jc w:val="center"/>
        <w:tblLayout w:type="fixed"/>
        <w:tblLook w:firstColumn="1" w:firstRow="1" w:lastColumn="0" w:lastRow="0" w:noHBand="0" w:noVBand="1" w:val="04A0"/>
        <w:tblCellMar>
          <w:top w:w="50" w:type="dxa"/>
          <w:left w:w="90" w:type="dxa"/>
          <w:bottom w:w="50" w:type="dxa"/>
          <w:right w:w="90" w:type="dxa"/>
        </w:tblCellMar>
      </w:tblPr>
      <w:tblGrid>
        <w:gridCol w:w="4306"/>
        <w:gridCol w:w="2051"/>
        <w:gridCol w:w="3281"/>
      </w:tblGrid>
      <w:tr>
        <w:trPr>
          <w:tblHeader w:val="true"/>
        </w:trPr>
        <w:tc>
          <w:tcPr>
            <w:tcW w:type="dxa" w:w="4306"/>
            <w:shd w:val="clear" w:color="auto" w:fill="1b4965"/>
          </w:tcPr>
          <w:p>
            <w:pPr>
              <w:keepNext/>
              <w:spacing w:after="0" w:before="0"/>
              <w:jc w:val="left"/>
            </w:pPr>
            <w:r/>
            <w:r>
              <w:rPr>
                <w:b/>
                <w:color w:val="FFFFFF"/>
                <w:sz w:val="17"/>
              </w:rPr>
              <w:t>File</w:t>
            </w:r>
          </w:p>
        </w:tc>
        <w:tc>
          <w:tcPr>
            <w:tcW w:type="dxa" w:w="2051"/>
            <w:shd w:val="clear" w:color="auto" w:fill="1b4965"/>
          </w:tcPr>
          <w:p>
            <w:pPr>
              <w:keepNext/>
              <w:spacing w:after="0" w:before="0"/>
              <w:jc w:val="left"/>
            </w:pPr>
            <w:r/>
            <w:r>
              <w:rPr>
                <w:b/>
                <w:color w:val="FFFFFF"/>
                <w:sz w:val="17"/>
              </w:rPr>
              <w:t>Type</w:t>
            </w:r>
          </w:p>
        </w:tc>
        <w:tc>
          <w:tcPr>
            <w:tcW w:type="dxa" w:w="3281"/>
            <w:shd w:val="clear" w:color="auto" w:fill="1b4965"/>
          </w:tcPr>
          <w:p>
            <w:pPr>
              <w:keepNext/>
              <w:spacing w:after="0" w:before="0"/>
              <w:jc w:val="left"/>
            </w:pPr>
            <w:r/>
            <w:r>
              <w:rPr>
                <w:b/>
                <w:color w:val="FFFFFF"/>
                <w:sz w:val="17"/>
              </w:rPr>
              <w:t>Contents</w:t>
            </w:r>
          </w:p>
        </w:tc>
      </w:tr>
      <w:tr>
        <w:trPr>
          <w:cantSplit/>
        </w:trPr>
        <w:tc>
          <w:tcPr>
            <w:tcW w:type="dxa" w:w="4306"/>
          </w:tcPr>
          <w:p>
            <w:pPr>
              <w:keepNext/>
              <w:spacing w:after="0" w:before="0"/>
              <w:jc w:val="left"/>
            </w:pPr>
            <w:r/>
            <w:r>
              <w:rPr>
                <w:b w:val="0"/>
                <w:color w:val="1F2933"/>
                <w:sz w:val="17"/>
              </w:rPr>
              <w:t>piura_out/urban_expansion/built_area_change.tif</w:t>
            </w:r>
          </w:p>
        </w:tc>
        <w:tc>
          <w:tcPr>
            <w:tcW w:type="dxa" w:w="2051"/>
          </w:tcPr>
          <w:p>
            <w:pPr>
              <w:keepNext/>
              <w:spacing w:after="0" w:before="0"/>
              <w:jc w:val="left"/>
            </w:pPr>
            <w:r/>
            <w:r>
              <w:rPr>
                <w:b w:val="0"/>
                <w:color w:val="1F2933"/>
                <w:sz w:val="17"/>
              </w:rPr>
              <w:t>GeoTIFF raster</w:t>
            </w:r>
          </w:p>
        </w:tc>
        <w:tc>
          <w:tcPr>
            <w:tcW w:type="dxa" w:w="3281"/>
          </w:tcPr>
          <w:p>
            <w:pPr>
              <w:keepNext/>
              <w:spacing w:after="0" w:before="0"/>
              <w:jc w:val="left"/>
            </w:pPr>
            <w:r/>
            <w:r>
              <w:rPr>
                <w:b w:val="0"/>
                <w:color w:val="1F2933"/>
                <w:sz w:val="17"/>
              </w:rPr>
              <w:t>Built-up area change</w:t>
            </w:r>
          </w:p>
        </w:tc>
      </w:tr>
      <w:tr>
        <w:trPr>
          <w:cantSplit/>
        </w:trPr>
        <w:tc>
          <w:tcPr>
            <w:tcW w:type="dxa" w:w="4306"/>
            <w:shd w:val="clear" w:color="auto" w:fill="f5f7f9"/>
          </w:tcPr>
          <w:p>
            <w:pPr>
              <w:keepNext/>
              <w:spacing w:after="0" w:before="0"/>
              <w:jc w:val="left"/>
            </w:pPr>
            <w:r/>
            <w:r>
              <w:rPr>
                <w:b w:val="0"/>
                <w:color w:val="1F2933"/>
                <w:sz w:val="17"/>
              </w:rPr>
              <w:t>piura_out/urban_expansion/deliverables/urban_expansion_report.pdf</w:t>
            </w:r>
          </w:p>
        </w:tc>
        <w:tc>
          <w:tcPr>
            <w:tcW w:type="dxa" w:w="2051"/>
            <w:shd w:val="clear" w:color="auto" w:fill="f5f7f9"/>
          </w:tcPr>
          <w:p>
            <w:pPr>
              <w:keepNext/>
              <w:spacing w:after="0" w:before="0"/>
              <w:jc w:val="left"/>
            </w:pPr>
            <w:r/>
            <w:r>
              <w:rPr>
                <w:b w:val="0"/>
                <w:color w:val="1F2933"/>
                <w:sz w:val="17"/>
              </w:rPr>
              <w:t>PDF report</w:t>
            </w:r>
          </w:p>
        </w:tc>
        <w:tc>
          <w:tcPr>
            <w:tcW w:type="dxa" w:w="3281"/>
            <w:shd w:val="clear" w:color="auto" w:fill="f5f7f9"/>
          </w:tcPr>
          <w:p>
            <w:pPr>
              <w:keepNext/>
              <w:spacing w:after="0" w:before="0"/>
              <w:jc w:val="left"/>
            </w:pPr>
            <w:r/>
            <w:r>
              <w:rPr>
                <w:b w:val="0"/>
                <w:color w:val="1F2933"/>
                <w:sz w:val="17"/>
              </w:rPr>
              <w:t>Complete analysis report</w:t>
            </w:r>
          </w:p>
        </w:tc>
      </w:tr>
      <w:tr>
        <w:trPr>
          <w:cantSplit/>
        </w:trPr>
        <w:tc>
          <w:tcPr>
            <w:tcW w:type="dxa" w:w="4306"/>
          </w:tcPr>
          <w:p>
            <w:pPr>
              <w:keepNext/>
              <w:spacing w:after="0" w:before="0"/>
              <w:jc w:val="left"/>
            </w:pPr>
            <w:r/>
            <w:r>
              <w:rPr>
                <w:b w:val="0"/>
                <w:color w:val="1F2933"/>
                <w:sz w:val="17"/>
              </w:rPr>
              <w:t>piura_out/urban_expansion/deliverables/urban_expansion_report.xlsx</w:t>
            </w:r>
          </w:p>
        </w:tc>
        <w:tc>
          <w:tcPr>
            <w:tcW w:type="dxa" w:w="2051"/>
          </w:tcPr>
          <w:p>
            <w:pPr>
              <w:keepNext/>
              <w:spacing w:after="0" w:before="0"/>
              <w:jc w:val="left"/>
            </w:pPr>
            <w:r/>
            <w:r>
              <w:rPr>
                <w:b w:val="0"/>
                <w:color w:val="1F2933"/>
                <w:sz w:val="17"/>
              </w:rPr>
              <w:t>Excel workbook</w:t>
            </w:r>
          </w:p>
        </w:tc>
        <w:tc>
          <w:tcPr>
            <w:tcW w:type="dxa" w:w="3281"/>
          </w:tcPr>
          <w:p>
            <w:pPr>
              <w:keepNext/>
              <w:spacing w:after="0" w:before="0"/>
              <w:jc w:val="left"/>
            </w:pPr>
            <w:r/>
            <w:r>
              <w:rPr>
                <w:b w:val="0"/>
                <w:color w:val="1F2933"/>
                <w:sz w:val="17"/>
              </w:rPr>
              <w:t>Complete analysis report</w:t>
            </w:r>
          </w:p>
        </w:tc>
      </w:tr>
      <w:tr>
        <w:trPr>
          <w:cantSplit/>
        </w:trPr>
        <w:tc>
          <w:tcPr>
            <w:tcW w:type="dxa" w:w="4306"/>
            <w:shd w:val="clear" w:color="auto" w:fill="f5f7f9"/>
          </w:tcPr>
          <w:p>
            <w:pPr>
              <w:keepNext/>
              <w:spacing w:after="0" w:before="0"/>
              <w:jc w:val="left"/>
            </w:pPr>
            <w:r/>
            <w:r>
              <w:rPr>
                <w:b w:val="0"/>
                <w:color w:val="1F2933"/>
                <w:sz w:val="17"/>
              </w:rPr>
              <w:t>piura_out/urban_expansion/deliverables/urban_expansion_report.docx</w:t>
            </w:r>
          </w:p>
        </w:tc>
        <w:tc>
          <w:tcPr>
            <w:tcW w:type="dxa" w:w="2051"/>
            <w:shd w:val="clear" w:color="auto" w:fill="f5f7f9"/>
          </w:tcPr>
          <w:p>
            <w:pPr>
              <w:keepNext/>
              <w:spacing w:after="0" w:before="0"/>
              <w:jc w:val="left"/>
            </w:pPr>
            <w:r/>
            <w:r>
              <w:rPr>
                <w:b w:val="0"/>
                <w:color w:val="1F2933"/>
                <w:sz w:val="17"/>
              </w:rPr>
              <w:t>Word report</w:t>
            </w:r>
          </w:p>
        </w:tc>
        <w:tc>
          <w:tcPr>
            <w:tcW w:type="dxa" w:w="3281"/>
            <w:shd w:val="clear" w:color="auto" w:fill="f5f7f9"/>
          </w:tcPr>
          <w:p>
            <w:pPr>
              <w:keepNext/>
              <w:spacing w:after="0" w:before="0"/>
              <w:jc w:val="left"/>
            </w:pPr>
            <w:r/>
            <w:r>
              <w:rPr>
                <w:b w:val="0"/>
                <w:color w:val="1F2933"/>
                <w:sz w:val="17"/>
              </w:rPr>
              <w:t>Complete analysis report</w:t>
            </w:r>
          </w:p>
        </w:tc>
      </w:tr>
      <w:tr>
        <w:trPr>
          <w:cantSplit/>
        </w:trPr>
        <w:tc>
          <w:tcPr>
            <w:tcW w:type="dxa" w:w="4306"/>
          </w:tcPr>
          <w:p>
            <w:pPr>
              <w:keepNext/>
              <w:spacing w:after="0" w:before="0"/>
              <w:jc w:val="left"/>
            </w:pPr>
            <w:r/>
            <w:r>
              <w:rPr>
                <w:b w:val="0"/>
                <w:color w:val="1F2933"/>
                <w:sz w:val="17"/>
              </w:rPr>
              <w:t>piura_out/urban_expansion/deliverables/maps/urban_expansion_map.png</w:t>
            </w:r>
          </w:p>
        </w:tc>
        <w:tc>
          <w:tcPr>
            <w:tcW w:type="dxa" w:w="2051"/>
          </w:tcPr>
          <w:p>
            <w:pPr>
              <w:keepNext/>
              <w:spacing w:after="0" w:before="0"/>
              <w:jc w:val="left"/>
            </w:pPr>
            <w:r/>
            <w:r>
              <w:rPr>
                <w:b w:val="0"/>
                <w:color w:val="1F2933"/>
                <w:sz w:val="17"/>
              </w:rPr>
              <w:t>PNG image</w:t>
            </w:r>
          </w:p>
        </w:tc>
        <w:tc>
          <w:tcPr>
            <w:tcW w:type="dxa" w:w="3281"/>
          </w:tcPr>
          <w:p>
            <w:pPr>
              <w:keepNext/>
              <w:spacing w:after="0" w:before="0"/>
              <w:jc w:val="left"/>
            </w:pPr>
            <w:r/>
            <w:r>
              <w:rPr>
                <w:b w:val="0"/>
                <w:color w:val="1F2933"/>
                <w:sz w:val="17"/>
              </w:rPr>
              <w:t>Map or chart for slides and documents</w:t>
            </w:r>
          </w:p>
        </w:tc>
      </w:tr>
      <w:tr>
        <w:trPr>
          <w:cantSplit/>
        </w:trPr>
        <w:tc>
          <w:tcPr>
            <w:tcW w:type="dxa" w:w="4306"/>
            <w:shd w:val="clear" w:color="auto" w:fill="f5f7f9"/>
          </w:tcPr>
          <w:p>
            <w:pPr>
              <w:keepNext/>
              <w:spacing w:after="0" w:before="0"/>
              <w:jc w:val="left"/>
            </w:pPr>
            <w:r/>
            <w:r>
              <w:rPr>
                <w:b w:val="0"/>
                <w:color w:val="1F2933"/>
                <w:sz w:val="17"/>
              </w:rPr>
              <w:t>piura_out/urban_expansion/deliverables/maps/urban_expansion_chart.png</w:t>
            </w:r>
          </w:p>
        </w:tc>
        <w:tc>
          <w:tcPr>
            <w:tcW w:type="dxa" w:w="2051"/>
            <w:shd w:val="clear" w:color="auto" w:fill="f5f7f9"/>
          </w:tcPr>
          <w:p>
            <w:pPr>
              <w:keepNext/>
              <w:spacing w:after="0" w:before="0"/>
              <w:jc w:val="left"/>
            </w:pPr>
            <w:r/>
            <w:r>
              <w:rPr>
                <w:b w:val="0"/>
                <w:color w:val="1F2933"/>
                <w:sz w:val="17"/>
              </w:rPr>
              <w:t>PNG image</w:t>
            </w:r>
          </w:p>
        </w:tc>
        <w:tc>
          <w:tcPr>
            <w:tcW w:type="dxa" w:w="3281"/>
            <w:shd w:val="clear" w:color="auto" w:fill="f5f7f9"/>
          </w:tcPr>
          <w:p>
            <w:pPr>
              <w:keepNext/>
              <w:spacing w:after="0" w:before="0"/>
              <w:jc w:val="left"/>
            </w:pPr>
            <w:r/>
            <w:r>
              <w:rPr>
                <w:b w:val="0"/>
                <w:color w:val="1F2933"/>
                <w:sz w:val="17"/>
              </w:rPr>
              <w:t>Map or chart for slides and documents</w:t>
            </w:r>
          </w:p>
        </w:tc>
      </w:tr>
      <w:tr>
        <w:trPr>
          <w:cantSplit/>
        </w:trPr>
        <w:tc>
          <w:tcPr>
            <w:tcW w:type="dxa" w:w="4306"/>
          </w:tcPr>
          <w:p>
            <w:pPr>
              <w:keepNext/>
              <w:spacing w:after="0" w:before="0"/>
              <w:jc w:val="left"/>
            </w:pPr>
            <w:r/>
            <w:r>
              <w:rPr>
                <w:b w:val="0"/>
                <w:color w:val="1F2933"/>
                <w:sz w:val="17"/>
              </w:rPr>
              <w:t>piura_out/urban_expansion/deliverables/vectors/urban_expansion.gpkg</w:t>
            </w:r>
          </w:p>
        </w:tc>
        <w:tc>
          <w:tcPr>
            <w:tcW w:type="dxa" w:w="2051"/>
          </w:tcPr>
          <w:p>
            <w:pPr>
              <w:keepNext/>
              <w:spacing w:after="0" w:before="0"/>
              <w:jc w:val="left"/>
            </w:pPr>
            <w:r/>
            <w:r>
              <w:rPr>
                <w:b w:val="0"/>
                <w:color w:val="1F2933"/>
                <w:sz w:val="17"/>
              </w:rPr>
              <w:t>GeoPackage (all layers)</w:t>
            </w:r>
          </w:p>
        </w:tc>
        <w:tc>
          <w:tcPr>
            <w:tcW w:type="dxa" w:w="3281"/>
          </w:tcPr>
          <w:p>
            <w:pPr>
              <w:keepNext/>
              <w:spacing w:after="0" w:before="0"/>
              <w:jc w:val="left"/>
            </w:pPr>
            <w:r/>
            <w:r>
              <w:rPr>
                <w:b w:val="0"/>
                <w:color w:val="1F2933"/>
                <w:sz w:val="17"/>
              </w:rPr>
              <w:t>Vector features with attributes</w:t>
            </w:r>
          </w:p>
        </w:tc>
      </w:tr>
      <w:tr>
        <w:trPr>
          <w:cantSplit/>
        </w:trPr>
        <w:tc>
          <w:tcPr>
            <w:tcW w:type="dxa" w:w="4306"/>
            <w:shd w:val="clear" w:color="auto" w:fill="f5f7f9"/>
          </w:tcPr>
          <w:p>
            <w:pPr>
              <w:keepNext/>
              <w:spacing w:after="0" w:before="0"/>
              <w:jc w:val="left"/>
            </w:pPr>
            <w:r/>
            <w:r>
              <w:rPr>
                <w:b w:val="0"/>
                <w:color w:val="1F2933"/>
                <w:sz w:val="17"/>
              </w:rPr>
              <w:t>piura_out/urban_expansion/deliverables/vectors/geojson/urban_expansion_aoi.geojson</w:t>
            </w:r>
          </w:p>
        </w:tc>
        <w:tc>
          <w:tcPr>
            <w:tcW w:type="dxa" w:w="2051"/>
            <w:shd w:val="clear" w:color="auto" w:fill="f5f7f9"/>
          </w:tcPr>
          <w:p>
            <w:pPr>
              <w:keepNext/>
              <w:spacing w:after="0" w:before="0"/>
              <w:jc w:val="left"/>
            </w:pPr>
            <w:r/>
            <w:r>
              <w:rPr>
                <w:b w:val="0"/>
                <w:color w:val="1F2933"/>
                <w:sz w:val="17"/>
              </w:rPr>
              <w:t>GeoJSON, EPSG:4326</w:t>
            </w:r>
          </w:p>
        </w:tc>
        <w:tc>
          <w:tcPr>
            <w:tcW w:type="dxa" w:w="3281"/>
            <w:shd w:val="clear" w:color="auto" w:fill="f5f7f9"/>
          </w:tcPr>
          <w:p>
            <w:pPr>
              <w:keepNext/>
              <w:spacing w:after="0" w:before="0"/>
              <w:jc w:val="left"/>
            </w:pPr>
            <w:r/>
            <w:r>
              <w:rPr>
                <w:b w:val="0"/>
                <w:color w:val="1F2933"/>
                <w:sz w:val="17"/>
              </w:rPr>
              <w:t>Vector features with attributes</w:t>
            </w:r>
          </w:p>
        </w:tc>
      </w:tr>
      <w:tr>
        <w:trPr>
          <w:cantSplit/>
        </w:trPr>
        <w:tc>
          <w:tcPr>
            <w:tcW w:type="dxa" w:w="4306"/>
          </w:tcPr>
          <w:p>
            <w:pPr>
              <w:keepNext/>
              <w:spacing w:after="0" w:before="0"/>
              <w:jc w:val="left"/>
            </w:pPr>
            <w:r/>
            <w:r>
              <w:rPr>
                <w:b w:val="0"/>
                <w:color w:val="1F2933"/>
                <w:sz w:val="17"/>
              </w:rPr>
              <w:t>run_summary.json</w:t>
            </w:r>
          </w:p>
        </w:tc>
        <w:tc>
          <w:tcPr>
            <w:tcW w:type="dxa" w:w="2051"/>
          </w:tcPr>
          <w:p>
            <w:pPr>
              <w:keepNext/>
              <w:spacing w:after="0" w:before="0"/>
              <w:jc w:val="left"/>
            </w:pPr>
            <w:r/>
            <w:r>
              <w:rPr>
                <w:b w:val="0"/>
                <w:color w:val="1F2933"/>
                <w:sz w:val="17"/>
              </w:rPr>
              <w:t>JSON</w:t>
            </w:r>
          </w:p>
        </w:tc>
        <w:tc>
          <w:tcPr>
            <w:tcW w:type="dxa" w:w="3281"/>
          </w:tcPr>
          <w:p>
            <w:pPr>
              <w:keepNext/>
              <w:spacing w:after="0" w:before="0"/>
              <w:jc w:val="left"/>
            </w:pPr>
            <w:r/>
            <w:r>
              <w:rPr>
                <w:b w:val="0"/>
                <w:color w:val="1F2933"/>
                <w:sz w:val="17"/>
              </w:rPr>
              <w:t>Machine-readable record of this run</w:t>
            </w:r>
          </w:p>
        </w:tc>
      </w:tr>
    </w:tbl>
    <w:p>
      <w:pPr>
        <w:spacing w:after="40"/>
      </w:pPr>
    </w:p>
    <w:p>
      <w:pPr>
        <w:pStyle w:val="Heading1"/>
      </w:pPr>
      <w:r>
        <w:t>References</w:t>
      </w:r>
    </w:p>
    <w:p>
      <w:pPr>
        <w:pStyle w:val="ListBullet"/>
      </w:pPr>
      <w:r>
        <w:t>Karra, K. et al. (2021). Global land use / land cover with Sentinel-2 and deep learning. IGARSS 2021, 4704-4707. (Impact Observatory / Esri 10 m annual land cover, io-lulc-annual-v02, Microsoft Planetary Computer.)</w:t>
      </w:r>
    </w:p>
    <w:p>
      <w:pPr>
        <w:pStyle w:val="Heading1"/>
      </w:pPr>
      <w:r>
        <w:t>Notes on this run</w:t>
      </w:r>
    </w:p>
    <w:p>
      <w:r>
        <w:t>Parts of the deliverables that could not be produced, or were changed, and why:</w:t>
      </w:r>
    </w:p>
    <w:p>
      <w:pPr>
        <w:pStyle w:val="ListBullet"/>
      </w:pPr>
      <w:r>
        <w:t>vector layer 'built_change' could not be created: No module named 'scipy'</w:t>
      </w:r>
    </w:p>
    <w:sectPr w:rsidR="00FC693F" w:rsidRPr="0006063C" w:rsidSect="00034616">
      <w:headerReference w:type="default" r:id="rId9"/>
      <w:footerReference w:type="default" r:id="rId10"/>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2606D"/>
        <w:sz w:val="16"/>
      </w:rPr>
      <w:t xml:space="preserve">Generated 2026-10-30 07:15 UTC    |    Page </w:t>
    </w:r>
    <w:r>
      <w:rPr>
        <w:color w:val="52606D"/>
        <w:sz w:val="16"/>
      </w:rPr>
      <w:fldChar w:fldCharType="begin"/>
      <w:instrText xml:space="preserve">PAGE</w:instrText>
      <w:fldChar w:fldCharType="end"/>
    </w:r>
    <w:r>
      <w:rPr>
        <w:color w:val="52606D"/>
        <w:sz w:val="16"/>
      </w:rPr>
      <w:t xml:space="preserve"> of </w:t>
    </w:r>
    <w:r>
      <w:rPr>
        <w:color w:val="52606D"/>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52606D"/>
        <w:sz w:val="16"/>
      </w:rPr>
      <w:t>Urban Expansion (annual 10 m land cover)    |    PyGeoVision 2.2.0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b w:val="0"/>
      <w:color w:val="52606D"/>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Arial" w:hAnsi="Arial"/>
      <w:b/>
      <w:bCs/>
      <w:color w:val="1B4965"/>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Arial" w:hAnsi="Arial"/>
      <w:b/>
      <w:bCs/>
      <w:color w:val="1F29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Expansion (annual 10 m land cover)</dc:title>
  <dc:subject>2020 to 2023 · 2.8 km²</dc:subject>
  <dc:creator>PyGeoVision</dc:creator>
  <cp:keywords/>
  <dc:description>generated by python-docx</dc:description>
  <cp:lastModifiedBy/>
  <cp:revision>1</cp:revision>
  <dcterms:created xsi:type="dcterms:W3CDTF">2013-12-23T23:15:00Z</dcterms:created>
  <dcterms:modified xsi:type="dcterms:W3CDTF">2013-12-23T23:15:00Z</dcterms:modified>
  <cp:category/>
</cp:coreProperties>
</file>