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648"/>
      </w:tblGrid>
      <w:tr w:rsidR="00106646" w:rsidRPr="00C928B5" w14:paraId="709B82F5" w14:textId="77777777">
        <w:trPr>
          <w:jc w:val="center"/>
        </w:trPr>
        <w:tc>
          <w:tcPr>
            <w:tcW w:w="9648" w:type="dxa"/>
            <w:shd w:val="clear" w:color="auto" w:fill="1B2A41"/>
          </w:tcPr>
          <w:p w14:paraId="4EF83472" w14:textId="77777777" w:rsidR="00106646" w:rsidRPr="00C928B5" w:rsidRDefault="00000000" w:rsidP="00C928B5">
            <w:pPr>
              <w:spacing w:line="360" w:lineRule="auto"/>
              <w:jc w:val="center"/>
              <w:rPr>
                <w:rFonts w:ascii="Times New Roman" w:hAnsi="Times New Roman" w:cs="Times New Roman"/>
                <w:sz w:val="24"/>
                <w:szCs w:val="24"/>
              </w:rPr>
            </w:pPr>
            <w:r w:rsidRPr="00C928B5">
              <w:rPr>
                <w:rFonts w:ascii="Times New Roman" w:hAnsi="Times New Roman" w:cs="Times New Roman"/>
                <w:b/>
                <w:color w:val="FFFFFF"/>
                <w:sz w:val="24"/>
                <w:szCs w:val="24"/>
              </w:rPr>
              <w:t>COVER LETTER — REVISED MANUSCRIPT</w:t>
            </w:r>
          </w:p>
          <w:p w14:paraId="2300CBEA" w14:textId="77777777" w:rsidR="00106646" w:rsidRPr="00C928B5" w:rsidRDefault="00000000" w:rsidP="00C928B5">
            <w:pPr>
              <w:spacing w:line="360" w:lineRule="auto"/>
              <w:jc w:val="center"/>
              <w:rPr>
                <w:rFonts w:ascii="Times New Roman" w:hAnsi="Times New Roman" w:cs="Times New Roman"/>
                <w:sz w:val="24"/>
                <w:szCs w:val="24"/>
              </w:rPr>
            </w:pPr>
            <w:r w:rsidRPr="00C928B5">
              <w:rPr>
                <w:rFonts w:ascii="Times New Roman" w:hAnsi="Times New Roman" w:cs="Times New Roman"/>
                <w:color w:val="FFFFFF"/>
                <w:sz w:val="24"/>
                <w:szCs w:val="24"/>
              </w:rPr>
              <w:t xml:space="preserve">Materials Today </w:t>
            </w:r>
            <w:proofErr w:type="gramStart"/>
            <w:r w:rsidRPr="00C928B5">
              <w:rPr>
                <w:rFonts w:ascii="Times New Roman" w:hAnsi="Times New Roman" w:cs="Times New Roman"/>
                <w:color w:val="FFFFFF"/>
                <w:sz w:val="24"/>
                <w:szCs w:val="24"/>
              </w:rPr>
              <w:t>Communications  |</w:t>
            </w:r>
            <w:proofErr w:type="gramEnd"/>
            <w:r w:rsidRPr="00C928B5">
              <w:rPr>
                <w:rFonts w:ascii="Times New Roman" w:hAnsi="Times New Roman" w:cs="Times New Roman"/>
                <w:color w:val="FFFFFF"/>
                <w:sz w:val="24"/>
                <w:szCs w:val="24"/>
              </w:rPr>
              <w:t xml:space="preserve">  Manuscript ID: MTCOMM-D-26-03066R2</w:t>
            </w:r>
          </w:p>
        </w:tc>
      </w:tr>
    </w:tbl>
    <w:p w14:paraId="18FBDEA0" w14:textId="77777777" w:rsidR="00106646" w:rsidRPr="00C928B5" w:rsidRDefault="00106646" w:rsidP="00C928B5">
      <w:pPr>
        <w:spacing w:line="360" w:lineRule="auto"/>
        <w:rPr>
          <w:rFonts w:ascii="Times New Roman" w:hAnsi="Times New Roman" w:cs="Times New Roman"/>
          <w:sz w:val="24"/>
          <w:szCs w:val="24"/>
        </w:rPr>
      </w:pPr>
    </w:p>
    <w:p w14:paraId="20105B7A" w14:textId="69141DAD"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11 July 2026</w:t>
      </w:r>
    </w:p>
    <w:p w14:paraId="2E92113E"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sz w:val="24"/>
          <w:szCs w:val="24"/>
        </w:rPr>
        <w:t>The Editor-in-Chief</w:t>
      </w:r>
    </w:p>
    <w:p w14:paraId="34AC3AA9"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Materials Today Communications</w:t>
      </w:r>
    </w:p>
    <w:p w14:paraId="693DC305" w14:textId="14C51DC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Elsevier Ltd.</w:t>
      </w:r>
    </w:p>
    <w:p w14:paraId="2F803DD2" w14:textId="10833641"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sz w:val="24"/>
          <w:szCs w:val="24"/>
        </w:rPr>
        <w:t>Dear Editor-in-Chief,</w:t>
      </w:r>
    </w:p>
    <w:p w14:paraId="65D06373"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We are pleased to resubmit our manuscript entitled:</w:t>
      </w:r>
    </w:p>
    <w:p w14:paraId="16DA1D73" w14:textId="404E2236"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i/>
          <w:sz w:val="24"/>
          <w:szCs w:val="24"/>
        </w:rPr>
        <w:t>"Comparative Analysis of Machine Learning Models for Engineering Material Classification Using Explainable Artificial Intelligence"</w:t>
      </w:r>
    </w:p>
    <w:p w14:paraId="02482538" w14:textId="04F1837E"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We thank the Scientific Handling Editor and both reviewers for their continued careful evaluation. Reviewer #1 confirmed that all previously raised concerns have been addressed. Reviewer #3 recommended minor revision, identifying three remaining points of clarity: the presentation of Iron Alloy UTS values in Table 2, the need for consistent taxonomy caveat language across the abstract, methods, and conclusions, and simplification of the graphical abstract. We have addressed all three in full, and in doing so identified and corrected a more substantial underlying data issue described below.</w:t>
      </w:r>
    </w:p>
    <w:p w14:paraId="24C89329"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color w:val="1B2A41"/>
          <w:sz w:val="24"/>
          <w:szCs w:val="24"/>
        </w:rPr>
        <w:t>Summary of Changes in This Revision</w:t>
      </w:r>
    </w:p>
    <w:tbl>
      <w:tblPr>
        <w:tblStyle w:val="TableGrid"/>
        <w:tblW w:w="0" w:type="auto"/>
        <w:tblLook w:val="04A0" w:firstRow="1" w:lastRow="0" w:firstColumn="1" w:lastColumn="0" w:noHBand="0" w:noVBand="1"/>
      </w:tblPr>
      <w:tblGrid>
        <w:gridCol w:w="4819"/>
        <w:gridCol w:w="4819"/>
      </w:tblGrid>
      <w:tr w:rsidR="00106646" w:rsidRPr="00C928B5" w14:paraId="20A7ABFC" w14:textId="77777777">
        <w:tc>
          <w:tcPr>
            <w:tcW w:w="4824" w:type="dxa"/>
            <w:shd w:val="clear" w:color="auto" w:fill="1B2A41"/>
          </w:tcPr>
          <w:p w14:paraId="3DC2601E"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color w:val="FFFFFF"/>
                <w:sz w:val="24"/>
                <w:szCs w:val="24"/>
              </w:rPr>
              <w:t>Reviewer Concern</w:t>
            </w:r>
          </w:p>
        </w:tc>
        <w:tc>
          <w:tcPr>
            <w:tcW w:w="4824" w:type="dxa"/>
            <w:shd w:val="clear" w:color="auto" w:fill="1B2A41"/>
          </w:tcPr>
          <w:p w14:paraId="64EE2FAB"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color w:val="FFFFFF"/>
                <w:sz w:val="24"/>
                <w:szCs w:val="24"/>
              </w:rPr>
              <w:t>Action Taken</w:t>
            </w:r>
          </w:p>
        </w:tc>
      </w:tr>
      <w:tr w:rsidR="00106646" w:rsidRPr="00C928B5" w14:paraId="6BBEE059" w14:textId="77777777">
        <w:tc>
          <w:tcPr>
            <w:tcW w:w="4824" w:type="dxa"/>
          </w:tcPr>
          <w:p w14:paraId="5B7D957F"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Reviewer #1: previously recommended citations already addressed</w:t>
            </w:r>
          </w:p>
        </w:tc>
        <w:tc>
          <w:tcPr>
            <w:tcW w:w="4824" w:type="dxa"/>
          </w:tcPr>
          <w:p w14:paraId="7BDD16C1"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Confirmed; no further action required.</w:t>
            </w:r>
          </w:p>
        </w:tc>
      </w:tr>
      <w:tr w:rsidR="00106646" w:rsidRPr="00C928B5" w14:paraId="2AA41FDE" w14:textId="77777777">
        <w:tc>
          <w:tcPr>
            <w:tcW w:w="4824" w:type="dxa"/>
          </w:tcPr>
          <w:p w14:paraId="14B1A873"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Table 2 mixes kpsi and MPa for Iron Alloy UTS, explained only in a footnote</w:t>
            </w:r>
          </w:p>
        </w:tc>
        <w:tc>
          <w:tcPr>
            <w:tcW w:w="4824" w:type="dxa"/>
          </w:tcPr>
          <w:p w14:paraId="7E980FD3"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 xml:space="preserve">A full unit audit of the source database found that the Iron Alloy UTS field was mislabelled “psi” but was already in MPa, and the </w:t>
            </w:r>
            <w:r w:rsidRPr="00C928B5">
              <w:rPr>
                <w:rFonts w:ascii="Times New Roman" w:hAnsi="Times New Roman" w:cs="Times New Roman"/>
                <w:sz w:val="24"/>
                <w:szCs w:val="24"/>
              </w:rPr>
              <w:lastRenderedPageBreak/>
              <w:t>Elastic/Shear Modulus fields were mislabelled “psi” but were actually in GPa. A pipeline bug had applied an incorrect psi conversion on top of these values, compressing them by two to three orders of magnitude. This has been corrected at the source; Table 2 now shows the corrected MPa values directly, and all affected models, SHAP results, and ablation/permutation analyses have been re-run on the corrected data.</w:t>
            </w:r>
          </w:p>
        </w:tc>
      </w:tr>
      <w:tr w:rsidR="00106646" w:rsidRPr="00C928B5" w14:paraId="1A2116BB" w14:textId="77777777">
        <w:tc>
          <w:tcPr>
            <w:tcW w:w="4824" w:type="dxa"/>
          </w:tcPr>
          <w:p w14:paraId="75675832"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lastRenderedPageBreak/>
              <w:t>Taxonomy caveat needed consistently in the abstract and conclusion, not just Section 3.1</w:t>
            </w:r>
          </w:p>
        </w:tc>
        <w:tc>
          <w:tcPr>
            <w:tcW w:w="4824" w:type="dxa"/>
          </w:tcPr>
          <w:p w14:paraId="18AF5A1F"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Matching caveat language (“source/provenance and processing-route grouping, not a strict metallurgical classification”) has been added to the Abstract, Section 3.1, and the Conclusions.</w:t>
            </w:r>
          </w:p>
        </w:tc>
      </w:tr>
      <w:tr w:rsidR="00106646" w:rsidRPr="00C928B5" w14:paraId="6EAF39BC" w14:textId="77777777">
        <w:tc>
          <w:tcPr>
            <w:tcW w:w="4824" w:type="dxa"/>
          </w:tcPr>
          <w:p w14:paraId="0271B1A5"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Graphical abstract carries too much text for a visual summary</w:t>
            </w:r>
          </w:p>
        </w:tc>
        <w:tc>
          <w:tcPr>
            <w:tcW w:w="4824" w:type="dxa"/>
          </w:tcPr>
          <w:p w14:paraId="5EB8B2C6"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Fully redesigned as a three-panel visual (Dataset → Pipeline → Result) using icons and short labels; detailed statistics remain in the manuscript body where they belong.</w:t>
            </w:r>
          </w:p>
        </w:tc>
      </w:tr>
      <w:tr w:rsidR="00106646" w:rsidRPr="00C928B5" w14:paraId="6D667997" w14:textId="77777777">
        <w:tc>
          <w:tcPr>
            <w:tcW w:w="4824" w:type="dxa"/>
          </w:tcPr>
          <w:p w14:paraId="5346D00A"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Note appended to correspondence requesting five additional citations</w:t>
            </w:r>
          </w:p>
        </w:tc>
        <w:tc>
          <w:tcPr>
            <w:tcW w:w="4824" w:type="dxa"/>
          </w:tcPr>
          <w:p w14:paraId="5EA7FB74"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Reviewed against both reviewers' actual comments; none requested these citations. Per the journal's own policy on non-substantive suggested citations, they have not been added. Three similarly non-substantive citations included in the previous round, plus a duplicated reference entry with a mismatched DOI, have also been removed on further review.</w:t>
            </w:r>
          </w:p>
        </w:tc>
      </w:tr>
    </w:tbl>
    <w:p w14:paraId="0F5377A4" w14:textId="77777777" w:rsidR="00106646" w:rsidRPr="00C928B5" w:rsidRDefault="00106646" w:rsidP="00C928B5">
      <w:pPr>
        <w:spacing w:line="360" w:lineRule="auto"/>
        <w:rPr>
          <w:rFonts w:ascii="Times New Roman" w:hAnsi="Times New Roman" w:cs="Times New Roman"/>
          <w:sz w:val="24"/>
          <w:szCs w:val="24"/>
        </w:rPr>
      </w:pPr>
    </w:p>
    <w:p w14:paraId="102183B5"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color w:val="1B2A41"/>
          <w:sz w:val="24"/>
          <w:szCs w:val="24"/>
        </w:rPr>
        <w:t>Key Results (Unaffected by the Unit Correction)</w:t>
      </w:r>
    </w:p>
    <w:p w14:paraId="05A71977" w14:textId="43C37381"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lastRenderedPageBreak/>
        <w:t>The dataset comprises 3,443 engineering material entries: Iron Alloy (n = 1,288), Polymer (n = 1,070), and Steel/Metal (n = 1,085). All five classifiers continue to achieve 100% accuracy on the held-out test set following the data correction, with stratified 5-fold cross-validation confirming Random Forest and Decision Tree at 100.00 ± 0.00% and SVM/k-NN/Logistic Regression at 99.97 ± 0.06%. Feature ablation results and SHAP rankings were re-verified on the corrected dataset and remain consistent with those previously reported.</w:t>
      </w:r>
    </w:p>
    <w:p w14:paraId="76889A68"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color w:val="1B2A41"/>
          <w:sz w:val="24"/>
          <w:szCs w:val="24"/>
        </w:rPr>
        <w:t>Originality and Suitability</w:t>
      </w:r>
    </w:p>
    <w:p w14:paraId="0277CDF4" w14:textId="3C32E6CB"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This manuscript is original, has not been published previously, and is not under consideration elsewhere. We believe the corrected dataset, the consistently worded taxonomy caveat, the simplified graphical abstract, and the transparent handling of the citation note fully address the remaining Reviewer #3 concerns and meet the journal's standards for publication in Materials Today Communications.</w:t>
      </w:r>
    </w:p>
    <w:p w14:paraId="1F5B91E3" w14:textId="07CCC5CD"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We remain available for any further queries.</w:t>
      </w:r>
    </w:p>
    <w:p w14:paraId="56C5EF5D" w14:textId="55CD0AF5"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sz w:val="24"/>
          <w:szCs w:val="24"/>
        </w:rPr>
        <w:t>Yours sincerely,</w:t>
      </w:r>
    </w:p>
    <w:p w14:paraId="027C9942"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b/>
          <w:sz w:val="24"/>
          <w:szCs w:val="24"/>
        </w:rPr>
        <w:t>Appiah-Kubi Samuel</w:t>
      </w:r>
    </w:p>
    <w:p w14:paraId="01101D9F"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(on behalf of all authors)</w:t>
      </w:r>
    </w:p>
    <w:p w14:paraId="624D096B"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BSc Laboratory Technology, School of Physical Sciences</w:t>
      </w:r>
    </w:p>
    <w:p w14:paraId="406F4899"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University of Cape Coast (UCC), Cape Coast, Ghana</w:t>
      </w:r>
    </w:p>
    <w:p w14:paraId="0840F08C"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appiahkubisamuel779@gmail.com</w:t>
      </w:r>
    </w:p>
    <w:p w14:paraId="3E58F1F7" w14:textId="77777777" w:rsidR="00106646" w:rsidRPr="00C928B5" w:rsidRDefault="00000000" w:rsidP="00C928B5">
      <w:pPr>
        <w:spacing w:line="360" w:lineRule="auto"/>
        <w:rPr>
          <w:rFonts w:ascii="Times New Roman" w:hAnsi="Times New Roman" w:cs="Times New Roman"/>
          <w:sz w:val="24"/>
          <w:szCs w:val="24"/>
        </w:rPr>
      </w:pPr>
      <w:r w:rsidRPr="00C928B5">
        <w:rPr>
          <w:rFonts w:ascii="Times New Roman" w:hAnsi="Times New Roman" w:cs="Times New Roman"/>
          <w:sz w:val="24"/>
          <w:szCs w:val="24"/>
        </w:rPr>
        <w:t>11 July 2026</w:t>
      </w:r>
    </w:p>
    <w:sectPr w:rsidR="00106646" w:rsidRPr="00C928B5"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483037">
    <w:abstractNumId w:val="8"/>
  </w:num>
  <w:num w:numId="2" w16cid:durableId="872614585">
    <w:abstractNumId w:val="6"/>
  </w:num>
  <w:num w:numId="3" w16cid:durableId="488137566">
    <w:abstractNumId w:val="5"/>
  </w:num>
  <w:num w:numId="4" w16cid:durableId="1510371692">
    <w:abstractNumId w:val="4"/>
  </w:num>
  <w:num w:numId="5" w16cid:durableId="1037193046">
    <w:abstractNumId w:val="7"/>
  </w:num>
  <w:num w:numId="6" w16cid:durableId="1210802501">
    <w:abstractNumId w:val="3"/>
  </w:num>
  <w:num w:numId="7" w16cid:durableId="1684237303">
    <w:abstractNumId w:val="2"/>
  </w:num>
  <w:num w:numId="8" w16cid:durableId="149912294">
    <w:abstractNumId w:val="1"/>
  </w:num>
  <w:num w:numId="9" w16cid:durableId="106032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646"/>
    <w:rsid w:val="0015074B"/>
    <w:rsid w:val="0029639D"/>
    <w:rsid w:val="00326F90"/>
    <w:rsid w:val="00AA1D8D"/>
    <w:rsid w:val="00B47730"/>
    <w:rsid w:val="00C928B5"/>
    <w:rsid w:val="00CB0664"/>
    <w:rsid w:val="00D609B5"/>
    <w:rsid w:val="00F63E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5B776"/>
  <w14:defaultImageDpi w14:val="300"/>
  <w15:docId w15:val="{FDD3E344-412A-4CBA-AAEF-ABA69CC9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sammy</cp:lastModifiedBy>
  <cp:revision>2</cp:revision>
  <dcterms:created xsi:type="dcterms:W3CDTF">2026-07-11T02:35:00Z</dcterms:created>
  <dcterms:modified xsi:type="dcterms:W3CDTF">2026-07-11T02:35:00Z</dcterms:modified>
  <cp:category/>
</cp:coreProperties>
</file>