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9648"/>
      </w:tblGrid>
      <w:tr w:rsidR="00352D85" w:rsidRPr="008A3393" w14:paraId="0BEA0D38" w14:textId="77777777">
        <w:trPr>
          <w:jc w:val="center"/>
        </w:trPr>
        <w:tc>
          <w:tcPr>
            <w:tcW w:w="9648" w:type="dxa"/>
            <w:shd w:val="clear" w:color="auto" w:fill="1B2A41"/>
          </w:tcPr>
          <w:p w14:paraId="43C2AC12" w14:textId="77777777" w:rsidR="00352D85" w:rsidRPr="008A3393" w:rsidRDefault="00000000" w:rsidP="008A3393">
            <w:pPr>
              <w:spacing w:line="360" w:lineRule="auto"/>
              <w:jc w:val="center"/>
              <w:rPr>
                <w:rFonts w:ascii="Times New Roman" w:hAnsi="Times New Roman" w:cs="Times New Roman"/>
                <w:sz w:val="24"/>
                <w:szCs w:val="24"/>
              </w:rPr>
            </w:pPr>
            <w:r w:rsidRPr="008A3393">
              <w:rPr>
                <w:rFonts w:ascii="Times New Roman" w:hAnsi="Times New Roman" w:cs="Times New Roman"/>
                <w:b/>
                <w:color w:val="FFFFFF"/>
                <w:sz w:val="24"/>
                <w:szCs w:val="24"/>
              </w:rPr>
              <w:t>LETTER OF CHANGES</w:t>
            </w:r>
          </w:p>
          <w:p w14:paraId="1E4FF87F" w14:textId="77777777" w:rsidR="00352D85" w:rsidRPr="008A3393" w:rsidRDefault="00000000" w:rsidP="008A3393">
            <w:pPr>
              <w:spacing w:line="360" w:lineRule="auto"/>
              <w:jc w:val="center"/>
              <w:rPr>
                <w:rFonts w:ascii="Times New Roman" w:hAnsi="Times New Roman" w:cs="Times New Roman"/>
                <w:sz w:val="24"/>
                <w:szCs w:val="24"/>
              </w:rPr>
            </w:pPr>
            <w:r w:rsidRPr="008A3393">
              <w:rPr>
                <w:rFonts w:ascii="Times New Roman" w:hAnsi="Times New Roman" w:cs="Times New Roman"/>
                <w:color w:val="FFFFFF"/>
                <w:sz w:val="24"/>
                <w:szCs w:val="24"/>
              </w:rPr>
              <w:t>Response to Second Round (R2) Reviewer Comments</w:t>
            </w:r>
          </w:p>
          <w:p w14:paraId="7CFCDE53" w14:textId="77777777" w:rsidR="00352D85" w:rsidRPr="008A3393" w:rsidRDefault="00000000" w:rsidP="008A3393">
            <w:pPr>
              <w:spacing w:line="360" w:lineRule="auto"/>
              <w:jc w:val="center"/>
              <w:rPr>
                <w:rFonts w:ascii="Times New Roman" w:hAnsi="Times New Roman" w:cs="Times New Roman"/>
                <w:sz w:val="24"/>
                <w:szCs w:val="24"/>
              </w:rPr>
            </w:pPr>
            <w:r w:rsidRPr="008A3393">
              <w:rPr>
                <w:rFonts w:ascii="Times New Roman" w:hAnsi="Times New Roman" w:cs="Times New Roman"/>
                <w:color w:val="FFFFFF"/>
                <w:sz w:val="24"/>
                <w:szCs w:val="24"/>
              </w:rPr>
              <w:t>Manuscript: MTCOMM-D-26-03066R</w:t>
            </w:r>
            <w:proofErr w:type="gramStart"/>
            <w:r w:rsidRPr="008A3393">
              <w:rPr>
                <w:rFonts w:ascii="Times New Roman" w:hAnsi="Times New Roman" w:cs="Times New Roman"/>
                <w:color w:val="FFFFFF"/>
                <w:sz w:val="24"/>
                <w:szCs w:val="24"/>
              </w:rPr>
              <w:t>2  |</w:t>
            </w:r>
            <w:proofErr w:type="gramEnd"/>
            <w:r w:rsidRPr="008A3393">
              <w:rPr>
                <w:rFonts w:ascii="Times New Roman" w:hAnsi="Times New Roman" w:cs="Times New Roman"/>
                <w:color w:val="FFFFFF"/>
                <w:sz w:val="24"/>
                <w:szCs w:val="24"/>
              </w:rPr>
              <w:t xml:space="preserve">  11 July 2026</w:t>
            </w:r>
          </w:p>
        </w:tc>
      </w:tr>
    </w:tbl>
    <w:p w14:paraId="2D09C296" w14:textId="77777777" w:rsidR="00352D85" w:rsidRPr="008A3393" w:rsidRDefault="00352D85" w:rsidP="008A3393">
      <w:pPr>
        <w:spacing w:line="360" w:lineRule="auto"/>
        <w:rPr>
          <w:rFonts w:ascii="Times New Roman" w:hAnsi="Times New Roman" w:cs="Times New Roman"/>
          <w:sz w:val="24"/>
          <w:szCs w:val="24"/>
        </w:rPr>
      </w:pPr>
    </w:p>
    <w:p w14:paraId="6A7AB288"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sz w:val="24"/>
          <w:szCs w:val="24"/>
        </w:rPr>
        <w:t>This document details every change made to the manuscript in response to the second-round (R2) reviewer reports. Changes are organised by reviewer comment below.</w:t>
      </w:r>
    </w:p>
    <w:p w14:paraId="001FF489" w14:textId="77777777" w:rsidR="00352D85" w:rsidRPr="008A3393" w:rsidRDefault="00352D85" w:rsidP="008A3393">
      <w:pPr>
        <w:spacing w:line="360" w:lineRule="auto"/>
        <w:rPr>
          <w:rFonts w:ascii="Times New Roman" w:hAnsi="Times New Roman" w:cs="Times New Roman"/>
          <w:sz w:val="24"/>
          <w:szCs w:val="24"/>
        </w:rPr>
      </w:pPr>
    </w:p>
    <w:p w14:paraId="64F4D92D"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b/>
          <w:color w:val="1B2A41"/>
          <w:sz w:val="24"/>
          <w:szCs w:val="24"/>
        </w:rPr>
        <w:t>Quick Reference — All Changes Made in This Round</w:t>
      </w:r>
    </w:p>
    <w:tbl>
      <w:tblPr>
        <w:tblStyle w:val="TableGrid"/>
        <w:tblW w:w="0" w:type="auto"/>
        <w:tblLook w:val="04A0" w:firstRow="1" w:lastRow="0" w:firstColumn="1" w:lastColumn="0" w:noHBand="0" w:noVBand="1"/>
      </w:tblPr>
      <w:tblGrid>
        <w:gridCol w:w="2407"/>
        <w:gridCol w:w="2411"/>
        <w:gridCol w:w="2410"/>
        <w:gridCol w:w="2410"/>
      </w:tblGrid>
      <w:tr w:rsidR="00352D85" w:rsidRPr="008A3393" w14:paraId="74B3E1D6" w14:textId="77777777">
        <w:tc>
          <w:tcPr>
            <w:tcW w:w="2412" w:type="dxa"/>
            <w:shd w:val="clear" w:color="auto" w:fill="1B2A41"/>
          </w:tcPr>
          <w:p w14:paraId="203C700A"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b/>
                <w:color w:val="FFFFFF"/>
                <w:sz w:val="24"/>
                <w:szCs w:val="24"/>
              </w:rPr>
              <w:t>#</w:t>
            </w:r>
          </w:p>
        </w:tc>
        <w:tc>
          <w:tcPr>
            <w:tcW w:w="2412" w:type="dxa"/>
            <w:shd w:val="clear" w:color="auto" w:fill="1B2A41"/>
          </w:tcPr>
          <w:p w14:paraId="49A2E595"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b/>
                <w:color w:val="FFFFFF"/>
                <w:sz w:val="24"/>
                <w:szCs w:val="24"/>
              </w:rPr>
              <w:t>Comment</w:t>
            </w:r>
          </w:p>
        </w:tc>
        <w:tc>
          <w:tcPr>
            <w:tcW w:w="2412" w:type="dxa"/>
            <w:shd w:val="clear" w:color="auto" w:fill="1B2A41"/>
          </w:tcPr>
          <w:p w14:paraId="094E5694"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b/>
                <w:color w:val="FFFFFF"/>
                <w:sz w:val="24"/>
                <w:szCs w:val="24"/>
              </w:rPr>
              <w:t>Location</w:t>
            </w:r>
          </w:p>
        </w:tc>
        <w:tc>
          <w:tcPr>
            <w:tcW w:w="2412" w:type="dxa"/>
            <w:shd w:val="clear" w:color="auto" w:fill="1B2A41"/>
          </w:tcPr>
          <w:p w14:paraId="1D5C3041"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b/>
                <w:color w:val="FFFFFF"/>
                <w:sz w:val="24"/>
                <w:szCs w:val="24"/>
              </w:rPr>
              <w:t>Change Made</w:t>
            </w:r>
          </w:p>
        </w:tc>
      </w:tr>
      <w:tr w:rsidR="00352D85" w:rsidRPr="008A3393" w14:paraId="29D6981B" w14:textId="77777777">
        <w:tc>
          <w:tcPr>
            <w:tcW w:w="2412" w:type="dxa"/>
          </w:tcPr>
          <w:p w14:paraId="33EBBFBC"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sz w:val="24"/>
                <w:szCs w:val="24"/>
              </w:rPr>
              <w:t>1</w:t>
            </w:r>
          </w:p>
        </w:tc>
        <w:tc>
          <w:tcPr>
            <w:tcW w:w="2412" w:type="dxa"/>
          </w:tcPr>
          <w:p w14:paraId="762765D6"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sz w:val="24"/>
                <w:szCs w:val="24"/>
              </w:rPr>
              <w:t>Reviewer #1: previously recommended citations already addressed</w:t>
            </w:r>
          </w:p>
        </w:tc>
        <w:tc>
          <w:tcPr>
            <w:tcW w:w="2412" w:type="dxa"/>
          </w:tcPr>
          <w:p w14:paraId="607ABB13"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sz w:val="24"/>
                <w:szCs w:val="24"/>
              </w:rPr>
              <w:t>—</w:t>
            </w:r>
          </w:p>
        </w:tc>
        <w:tc>
          <w:tcPr>
            <w:tcW w:w="2412" w:type="dxa"/>
          </w:tcPr>
          <w:p w14:paraId="5F67BD50"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sz w:val="24"/>
                <w:szCs w:val="24"/>
              </w:rPr>
              <w:t>Confirmed by reviewer; no further action required</w:t>
            </w:r>
          </w:p>
        </w:tc>
      </w:tr>
      <w:tr w:rsidR="00352D85" w:rsidRPr="008A3393" w14:paraId="0DE66CA5" w14:textId="77777777">
        <w:tc>
          <w:tcPr>
            <w:tcW w:w="2412" w:type="dxa"/>
          </w:tcPr>
          <w:p w14:paraId="289608D2"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sz w:val="24"/>
                <w:szCs w:val="24"/>
              </w:rPr>
              <w:t>2</w:t>
            </w:r>
          </w:p>
        </w:tc>
        <w:tc>
          <w:tcPr>
            <w:tcW w:w="2412" w:type="dxa"/>
          </w:tcPr>
          <w:p w14:paraId="1EDD1EEE"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sz w:val="24"/>
                <w:szCs w:val="24"/>
              </w:rPr>
              <w:t>Reviewer #3, Comment 1: Table 2 mixes kpsi and MPa for Iron Alloy UTS, explained only in a footnote</w:t>
            </w:r>
          </w:p>
        </w:tc>
        <w:tc>
          <w:tcPr>
            <w:tcW w:w="2412" w:type="dxa"/>
          </w:tcPr>
          <w:p w14:paraId="23F8649C"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sz w:val="24"/>
                <w:szCs w:val="24"/>
              </w:rPr>
              <w:t>Table 1, Table 2, Section 3.1</w:t>
            </w:r>
          </w:p>
        </w:tc>
        <w:tc>
          <w:tcPr>
            <w:tcW w:w="2412" w:type="dxa"/>
          </w:tcPr>
          <w:p w14:paraId="0B38677A"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sz w:val="24"/>
                <w:szCs w:val="24"/>
              </w:rPr>
              <w:t>Root-cause unit audit performed on the source database; corrected values now shown directly in Table 2; footnote and methods text rewritten to reflect the true correction</w:t>
            </w:r>
          </w:p>
        </w:tc>
      </w:tr>
      <w:tr w:rsidR="00352D85" w:rsidRPr="008A3393" w14:paraId="28F75291" w14:textId="77777777">
        <w:tc>
          <w:tcPr>
            <w:tcW w:w="2412" w:type="dxa"/>
          </w:tcPr>
          <w:p w14:paraId="5BE2A7B1"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sz w:val="24"/>
                <w:szCs w:val="24"/>
              </w:rPr>
              <w:t>3</w:t>
            </w:r>
          </w:p>
        </w:tc>
        <w:tc>
          <w:tcPr>
            <w:tcW w:w="2412" w:type="dxa"/>
          </w:tcPr>
          <w:p w14:paraId="21482285"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sz w:val="24"/>
                <w:szCs w:val="24"/>
              </w:rPr>
              <w:t xml:space="preserve">Reviewer #3, Comment 2: taxonomy caveat (source/provenance </w:t>
            </w:r>
            <w:r w:rsidRPr="008A3393">
              <w:rPr>
                <w:rFonts w:ascii="Times New Roman" w:hAnsi="Times New Roman" w:cs="Times New Roman"/>
                <w:sz w:val="24"/>
                <w:szCs w:val="24"/>
              </w:rPr>
              <w:lastRenderedPageBreak/>
              <w:t>grouping, not strict metallurgy) needs to be consistent throughout, not just Section 3.1</w:t>
            </w:r>
          </w:p>
        </w:tc>
        <w:tc>
          <w:tcPr>
            <w:tcW w:w="2412" w:type="dxa"/>
          </w:tcPr>
          <w:p w14:paraId="67610D66"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sz w:val="24"/>
                <w:szCs w:val="24"/>
              </w:rPr>
              <w:lastRenderedPageBreak/>
              <w:t>Abstract, Section 3.1, Conclusions</w:t>
            </w:r>
          </w:p>
        </w:tc>
        <w:tc>
          <w:tcPr>
            <w:tcW w:w="2412" w:type="dxa"/>
          </w:tcPr>
          <w:p w14:paraId="114BEE08"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sz w:val="24"/>
                <w:szCs w:val="24"/>
              </w:rPr>
              <w:t>Explicit caveat added in matching language to all three locations</w:t>
            </w:r>
          </w:p>
        </w:tc>
      </w:tr>
      <w:tr w:rsidR="00352D85" w:rsidRPr="008A3393" w14:paraId="127C36FE" w14:textId="77777777">
        <w:tc>
          <w:tcPr>
            <w:tcW w:w="2412" w:type="dxa"/>
          </w:tcPr>
          <w:p w14:paraId="33275E37"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sz w:val="24"/>
                <w:szCs w:val="24"/>
              </w:rPr>
              <w:t>4</w:t>
            </w:r>
          </w:p>
        </w:tc>
        <w:tc>
          <w:tcPr>
            <w:tcW w:w="2412" w:type="dxa"/>
          </w:tcPr>
          <w:p w14:paraId="08564025"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sz w:val="24"/>
                <w:szCs w:val="24"/>
              </w:rPr>
              <w:t>Reviewer #3, Comment 3: graphical abstract carries too much text for a visual summary</w:t>
            </w:r>
          </w:p>
        </w:tc>
        <w:tc>
          <w:tcPr>
            <w:tcW w:w="2412" w:type="dxa"/>
          </w:tcPr>
          <w:p w14:paraId="6FE78EF3"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sz w:val="24"/>
                <w:szCs w:val="24"/>
              </w:rPr>
              <w:t>Graphical abstract file</w:t>
            </w:r>
          </w:p>
        </w:tc>
        <w:tc>
          <w:tcPr>
            <w:tcW w:w="2412" w:type="dxa"/>
          </w:tcPr>
          <w:p w14:paraId="2163F35F"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sz w:val="24"/>
                <w:szCs w:val="24"/>
              </w:rPr>
              <w:t>Fully redesigned as a three-panel visual (Dataset → Pipeline → Result) with minimal text</w:t>
            </w:r>
          </w:p>
        </w:tc>
      </w:tr>
      <w:tr w:rsidR="00352D85" w:rsidRPr="008A3393" w14:paraId="4FB2A94D" w14:textId="77777777">
        <w:tc>
          <w:tcPr>
            <w:tcW w:w="2412" w:type="dxa"/>
          </w:tcPr>
          <w:p w14:paraId="42565995"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sz w:val="24"/>
                <w:szCs w:val="24"/>
              </w:rPr>
              <w:t>5</w:t>
            </w:r>
          </w:p>
        </w:tc>
        <w:tc>
          <w:tcPr>
            <w:tcW w:w="2412" w:type="dxa"/>
          </w:tcPr>
          <w:p w14:paraId="05B78286"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sz w:val="24"/>
                <w:szCs w:val="24"/>
              </w:rPr>
              <w:t>Note appended to editorial correspondence requesting five additional citations</w:t>
            </w:r>
          </w:p>
        </w:tc>
        <w:tc>
          <w:tcPr>
            <w:tcW w:w="2412" w:type="dxa"/>
          </w:tcPr>
          <w:p w14:paraId="6C16F68A"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sz w:val="24"/>
                <w:szCs w:val="24"/>
              </w:rPr>
              <w:t>References, Table 6, Sections 2.1 and 5.2</w:t>
            </w:r>
          </w:p>
        </w:tc>
        <w:tc>
          <w:tcPr>
            <w:tcW w:w="2412" w:type="dxa"/>
          </w:tcPr>
          <w:p w14:paraId="47FCFE40"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sz w:val="24"/>
                <w:szCs w:val="24"/>
              </w:rPr>
              <w:t>Reviewed and found not to originate from either reviewer's actual comments; not added, per journal policy on non-substantive suggested citations. Three citations included in the prior round on a similar basis, and a duplicated reference entry, were also removed on further review</w:t>
            </w:r>
          </w:p>
        </w:tc>
      </w:tr>
    </w:tbl>
    <w:p w14:paraId="1415D6D4" w14:textId="77777777" w:rsidR="00352D85" w:rsidRPr="008A3393" w:rsidRDefault="00352D85" w:rsidP="008A3393">
      <w:pPr>
        <w:spacing w:line="360" w:lineRule="auto"/>
        <w:rPr>
          <w:rFonts w:ascii="Times New Roman" w:hAnsi="Times New Roman" w:cs="Times New Roman"/>
          <w:sz w:val="24"/>
          <w:szCs w:val="24"/>
        </w:rPr>
      </w:pPr>
    </w:p>
    <w:p w14:paraId="24DF2D0D"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b/>
          <w:color w:val="1B2A41"/>
          <w:sz w:val="24"/>
          <w:szCs w:val="24"/>
        </w:rPr>
        <w:t>Reviewer #1</w:t>
      </w:r>
    </w:p>
    <w:tbl>
      <w:tblPr>
        <w:tblStyle w:val="TableGrid"/>
        <w:tblW w:w="0" w:type="auto"/>
        <w:tblLook w:val="04A0" w:firstRow="1" w:lastRow="0" w:firstColumn="1" w:lastColumn="0" w:noHBand="0" w:noVBand="1"/>
      </w:tblPr>
      <w:tblGrid>
        <w:gridCol w:w="1871"/>
        <w:gridCol w:w="7767"/>
      </w:tblGrid>
      <w:tr w:rsidR="00352D85" w:rsidRPr="008A3393" w14:paraId="23664284" w14:textId="77777777">
        <w:tc>
          <w:tcPr>
            <w:tcW w:w="1872" w:type="dxa"/>
            <w:shd w:val="clear" w:color="auto" w:fill="E8ECF1"/>
          </w:tcPr>
          <w:p w14:paraId="20D021BE"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b/>
                <w:sz w:val="24"/>
                <w:szCs w:val="24"/>
              </w:rPr>
              <w:t>Reviewer Comment:</w:t>
            </w:r>
          </w:p>
        </w:tc>
        <w:tc>
          <w:tcPr>
            <w:tcW w:w="7776" w:type="dxa"/>
          </w:tcPr>
          <w:p w14:paraId="6BAB3D94"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sz w:val="24"/>
                <w:szCs w:val="24"/>
              </w:rPr>
              <w:t>The authors have addressed the previous comments and have cited all the manuscripts that were previously recommended.</w:t>
            </w:r>
          </w:p>
        </w:tc>
      </w:tr>
      <w:tr w:rsidR="00352D85" w:rsidRPr="008A3393" w14:paraId="21B1FADF" w14:textId="77777777">
        <w:tc>
          <w:tcPr>
            <w:tcW w:w="1872" w:type="dxa"/>
            <w:shd w:val="clear" w:color="auto" w:fill="E8ECF1"/>
          </w:tcPr>
          <w:p w14:paraId="25127D39"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b/>
                <w:sz w:val="24"/>
                <w:szCs w:val="24"/>
              </w:rPr>
              <w:t xml:space="preserve">Authors' </w:t>
            </w:r>
            <w:r w:rsidRPr="008A3393">
              <w:rPr>
                <w:rFonts w:ascii="Times New Roman" w:hAnsi="Times New Roman" w:cs="Times New Roman"/>
                <w:b/>
                <w:sz w:val="24"/>
                <w:szCs w:val="24"/>
              </w:rPr>
              <w:lastRenderedPageBreak/>
              <w:t>Response:</w:t>
            </w:r>
          </w:p>
        </w:tc>
        <w:tc>
          <w:tcPr>
            <w:tcW w:w="7776" w:type="dxa"/>
          </w:tcPr>
          <w:p w14:paraId="515AC12F"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sz w:val="24"/>
                <w:szCs w:val="24"/>
              </w:rPr>
              <w:lastRenderedPageBreak/>
              <w:t xml:space="preserve">We thank Reviewer #1 for confirming that all previously raised concerns have </w:t>
            </w:r>
            <w:r w:rsidRPr="008A3393">
              <w:rPr>
                <w:rFonts w:ascii="Times New Roman" w:hAnsi="Times New Roman" w:cs="Times New Roman"/>
                <w:sz w:val="24"/>
                <w:szCs w:val="24"/>
              </w:rPr>
              <w:lastRenderedPageBreak/>
              <w:t>been resolved. No further action was required in response to this comment.</w:t>
            </w:r>
          </w:p>
        </w:tc>
      </w:tr>
      <w:tr w:rsidR="00352D85" w:rsidRPr="008A3393" w14:paraId="65FEA21C" w14:textId="77777777">
        <w:tc>
          <w:tcPr>
            <w:tcW w:w="1872" w:type="dxa"/>
            <w:shd w:val="clear" w:color="auto" w:fill="E8ECF1"/>
          </w:tcPr>
          <w:p w14:paraId="43F20BD6"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b/>
                <w:sz w:val="24"/>
                <w:szCs w:val="24"/>
              </w:rPr>
              <w:lastRenderedPageBreak/>
              <w:t>Location:</w:t>
            </w:r>
          </w:p>
        </w:tc>
        <w:tc>
          <w:tcPr>
            <w:tcW w:w="7776" w:type="dxa"/>
          </w:tcPr>
          <w:p w14:paraId="37BCEDE1"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sz w:val="24"/>
                <w:szCs w:val="24"/>
              </w:rPr>
              <w:t>No changes required.</w:t>
            </w:r>
          </w:p>
        </w:tc>
      </w:tr>
    </w:tbl>
    <w:p w14:paraId="749DF00C" w14:textId="77777777" w:rsidR="00352D85" w:rsidRPr="008A3393" w:rsidRDefault="00352D85" w:rsidP="008A3393">
      <w:pPr>
        <w:spacing w:line="360" w:lineRule="auto"/>
        <w:rPr>
          <w:rFonts w:ascii="Times New Roman" w:hAnsi="Times New Roman" w:cs="Times New Roman"/>
          <w:sz w:val="24"/>
          <w:szCs w:val="24"/>
        </w:rPr>
      </w:pPr>
    </w:p>
    <w:p w14:paraId="6A0F016E"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b/>
          <w:color w:val="1B2A41"/>
          <w:sz w:val="24"/>
          <w:szCs w:val="24"/>
        </w:rPr>
        <w:t>Reviewer #3 — Comment 1: Table 2 Unit Presentation</w:t>
      </w:r>
    </w:p>
    <w:tbl>
      <w:tblPr>
        <w:tblStyle w:val="TableGrid"/>
        <w:tblW w:w="0" w:type="auto"/>
        <w:tblLook w:val="04A0" w:firstRow="1" w:lastRow="0" w:firstColumn="1" w:lastColumn="0" w:noHBand="0" w:noVBand="1"/>
      </w:tblPr>
      <w:tblGrid>
        <w:gridCol w:w="1871"/>
        <w:gridCol w:w="7767"/>
      </w:tblGrid>
      <w:tr w:rsidR="00352D85" w:rsidRPr="008A3393" w14:paraId="5ED90797" w14:textId="77777777">
        <w:tc>
          <w:tcPr>
            <w:tcW w:w="1872" w:type="dxa"/>
            <w:shd w:val="clear" w:color="auto" w:fill="E8ECF1"/>
          </w:tcPr>
          <w:p w14:paraId="5CB6C994"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b/>
                <w:sz w:val="24"/>
                <w:szCs w:val="24"/>
              </w:rPr>
              <w:t>Reviewer Comment:</w:t>
            </w:r>
          </w:p>
        </w:tc>
        <w:tc>
          <w:tcPr>
            <w:tcW w:w="7776" w:type="dxa"/>
          </w:tcPr>
          <w:p w14:paraId="6B600CD4"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sz w:val="24"/>
                <w:szCs w:val="24"/>
              </w:rPr>
              <w:t>Table 2 is still not ideal. The column is labelled UTS in MPa, but the Iron Alloy values are shown in the original kpsi scale and only explained in the footnote. I would prefer the table to show the converted MPa values used in model training, or to separate raw kpsi values from converted MPa values. Otherwise, readers may think that mixed units entered the model.</w:t>
            </w:r>
          </w:p>
        </w:tc>
      </w:tr>
      <w:tr w:rsidR="00352D85" w:rsidRPr="008A3393" w14:paraId="59D9E63D" w14:textId="77777777">
        <w:tc>
          <w:tcPr>
            <w:tcW w:w="1872" w:type="dxa"/>
            <w:shd w:val="clear" w:color="auto" w:fill="E8ECF1"/>
          </w:tcPr>
          <w:p w14:paraId="47051F52"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b/>
                <w:sz w:val="24"/>
                <w:szCs w:val="24"/>
              </w:rPr>
              <w:t>Authors' Response:</w:t>
            </w:r>
          </w:p>
        </w:tc>
        <w:tc>
          <w:tcPr>
            <w:tcW w:w="7776" w:type="dxa"/>
          </w:tcPr>
          <w:p w14:paraId="2A8F631C"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sz w:val="24"/>
                <w:szCs w:val="24"/>
              </w:rPr>
              <w:t xml:space="preserve">We conducted a full audit of the source database in response to this comment and identified the true cause of the unit inconsistency, which was more significant than a display issue. The Iron Alloy source file labelled its Ultimate Tensile Strength (UTS), Elastic Modulus, and Shear Modulus fields as “psi”, but cross-checking the raw values against independently published reference data (multiple ASTM- and SAE-graded cast and ductile iron specifications) showed that UTS values were already expressed in MPa, while Elastic Modulus and Shear Modulus values were expressed in GPa. Because the modelling pipeline had applied a psi-to-MPa conversion factor to these already-converted values, Iron Alloy UTS, Elastic Modulus, and Shear Modulus were compressed by two to three orders of magnitude in the dataset used for training and in Table 2 (e.g., Iron Alloy UTS previously reported as 0.97–16.89 MPa). We corrected this at the source: UTS values are now used directly (already MPa), and Elastic Modulus and Shear Modulus values are converted using the correct GPa-to-MPa factor (×1,000). The corrected values are now shown directly in Table 2 (Iron Alloy UTS: mean 654.3 MPa, range 140.0–2,450.0 MPa), removing the need for a raw/converted split, since only one MPa value now exists per cell. The Table 2 footnote and the Section 3.1 methods description have both been rewritten to accurately describe this correction. All affected analyses (model training, SHAP explainability, ablation and permutation tests, correlation heatmap) were re-run on the </w:t>
            </w:r>
            <w:r w:rsidRPr="008A3393">
              <w:rPr>
                <w:rFonts w:ascii="Times New Roman" w:hAnsi="Times New Roman" w:cs="Times New Roman"/>
                <w:sz w:val="24"/>
                <w:szCs w:val="24"/>
              </w:rPr>
              <w:lastRenderedPageBreak/>
              <w:t>corrected dataset.</w:t>
            </w:r>
          </w:p>
        </w:tc>
      </w:tr>
      <w:tr w:rsidR="00352D85" w:rsidRPr="008A3393" w14:paraId="16CA54CD" w14:textId="77777777">
        <w:tc>
          <w:tcPr>
            <w:tcW w:w="1872" w:type="dxa"/>
            <w:shd w:val="clear" w:color="auto" w:fill="E8ECF1"/>
          </w:tcPr>
          <w:p w14:paraId="17628D6D"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b/>
                <w:sz w:val="24"/>
                <w:szCs w:val="24"/>
              </w:rPr>
              <w:lastRenderedPageBreak/>
              <w:t>Location:</w:t>
            </w:r>
          </w:p>
        </w:tc>
        <w:tc>
          <w:tcPr>
            <w:tcW w:w="7776" w:type="dxa"/>
          </w:tcPr>
          <w:p w14:paraId="3AD84B37"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sz w:val="24"/>
                <w:szCs w:val="24"/>
              </w:rPr>
              <w:t>Table 1 (updated description); Table 2 (corrected Iron Alloy UTS statistics and footnote); Section 3.1 (revised methods text); all downstream figures and results re-generated from the corrected dataset.</w:t>
            </w:r>
          </w:p>
        </w:tc>
      </w:tr>
    </w:tbl>
    <w:p w14:paraId="6B23EB73" w14:textId="77777777" w:rsidR="00352D85" w:rsidRPr="008A3393" w:rsidRDefault="00352D85" w:rsidP="008A3393">
      <w:pPr>
        <w:spacing w:line="360" w:lineRule="auto"/>
        <w:rPr>
          <w:rFonts w:ascii="Times New Roman" w:hAnsi="Times New Roman" w:cs="Times New Roman"/>
          <w:sz w:val="24"/>
          <w:szCs w:val="24"/>
        </w:rPr>
      </w:pPr>
    </w:p>
    <w:p w14:paraId="5C0C96B5"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b/>
          <w:color w:val="1B2A41"/>
          <w:sz w:val="24"/>
          <w:szCs w:val="24"/>
        </w:rPr>
        <w:t>Reviewer #3 — Comment 2: Taxonomy Consistency</w:t>
      </w:r>
    </w:p>
    <w:tbl>
      <w:tblPr>
        <w:tblStyle w:val="TableGrid"/>
        <w:tblW w:w="0" w:type="auto"/>
        <w:tblLook w:val="04A0" w:firstRow="1" w:lastRow="0" w:firstColumn="1" w:lastColumn="0" w:noHBand="0" w:noVBand="1"/>
      </w:tblPr>
      <w:tblGrid>
        <w:gridCol w:w="1871"/>
        <w:gridCol w:w="7767"/>
      </w:tblGrid>
      <w:tr w:rsidR="00352D85" w:rsidRPr="008A3393" w14:paraId="1CF052BB" w14:textId="77777777">
        <w:tc>
          <w:tcPr>
            <w:tcW w:w="1872" w:type="dxa"/>
            <w:shd w:val="clear" w:color="auto" w:fill="E8ECF1"/>
          </w:tcPr>
          <w:p w14:paraId="69FE8860"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b/>
                <w:sz w:val="24"/>
                <w:szCs w:val="24"/>
              </w:rPr>
              <w:t>Reviewer Comment:</w:t>
            </w:r>
          </w:p>
        </w:tc>
        <w:tc>
          <w:tcPr>
            <w:tcW w:w="7776" w:type="dxa"/>
          </w:tcPr>
          <w:p w14:paraId="64C2B6EB"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sz w:val="24"/>
                <w:szCs w:val="24"/>
              </w:rPr>
              <w:t>The taxonomy explanation is also improved, but it should remain cautious. If the authors keep “Iron Alloy” and “Steel/Metal,” they should state consistently that this is a source/provenance and processing-route grouping, not a strict metallurgical classification. This should be clear not only in Section 3.1, but also in the abstract and conclusion.</w:t>
            </w:r>
          </w:p>
        </w:tc>
      </w:tr>
      <w:tr w:rsidR="00352D85" w:rsidRPr="008A3393" w14:paraId="188ED7C5" w14:textId="77777777">
        <w:tc>
          <w:tcPr>
            <w:tcW w:w="1872" w:type="dxa"/>
            <w:shd w:val="clear" w:color="auto" w:fill="E8ECF1"/>
          </w:tcPr>
          <w:p w14:paraId="4AA27EFD"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b/>
                <w:sz w:val="24"/>
                <w:szCs w:val="24"/>
              </w:rPr>
              <w:t>Authors' Response:</w:t>
            </w:r>
          </w:p>
        </w:tc>
        <w:tc>
          <w:tcPr>
            <w:tcW w:w="7776" w:type="dxa"/>
          </w:tcPr>
          <w:p w14:paraId="56EE8C72"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sz w:val="24"/>
                <w:szCs w:val="24"/>
              </w:rPr>
              <w:t>We have added an explicit, consistently worded caveat in all three locations requested. The Abstract now states that the three classes represent “a source/provenance and processing-route grouping rather than a strict metallurgical classification.” Section 3.1 includes a new paragraph immediately following the dataset overview making the same point in full: “It should be emphasised that ‘Iron Alloy’ and ‘Steel/Metal’ denote a source/provenance and processing-route grouping inherited from the constituent databases, not a strict metallurgical classification; several alloys placed in one class share compositional and mechanical overlap with the other, and the labels should be read accordingly throughout this study.” The Conclusions section opens with the same clarification restated in matching language.</w:t>
            </w:r>
          </w:p>
        </w:tc>
      </w:tr>
      <w:tr w:rsidR="00352D85" w:rsidRPr="008A3393" w14:paraId="191D4DBC" w14:textId="77777777">
        <w:tc>
          <w:tcPr>
            <w:tcW w:w="1872" w:type="dxa"/>
            <w:shd w:val="clear" w:color="auto" w:fill="E8ECF1"/>
          </w:tcPr>
          <w:p w14:paraId="3AF858B0"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b/>
                <w:sz w:val="24"/>
                <w:szCs w:val="24"/>
              </w:rPr>
              <w:t>Location:</w:t>
            </w:r>
          </w:p>
        </w:tc>
        <w:tc>
          <w:tcPr>
            <w:tcW w:w="7776" w:type="dxa"/>
          </w:tcPr>
          <w:p w14:paraId="646F33A6"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sz w:val="24"/>
                <w:szCs w:val="24"/>
              </w:rPr>
              <w:t>Abstract (revised); Section 3.1 (new paragraph); Section 6, Conclusions (revised opening sentence).</w:t>
            </w:r>
          </w:p>
        </w:tc>
      </w:tr>
    </w:tbl>
    <w:p w14:paraId="143BE464" w14:textId="77777777" w:rsidR="00352D85" w:rsidRPr="008A3393" w:rsidRDefault="00352D85" w:rsidP="008A3393">
      <w:pPr>
        <w:spacing w:line="360" w:lineRule="auto"/>
        <w:rPr>
          <w:rFonts w:ascii="Times New Roman" w:hAnsi="Times New Roman" w:cs="Times New Roman"/>
          <w:sz w:val="24"/>
          <w:szCs w:val="24"/>
        </w:rPr>
      </w:pPr>
    </w:p>
    <w:p w14:paraId="58B5818E"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b/>
          <w:color w:val="1B2A41"/>
          <w:sz w:val="24"/>
          <w:szCs w:val="24"/>
        </w:rPr>
        <w:t>Reviewer #3 — Comment 3: Graphical Abstract Text Density</w:t>
      </w:r>
    </w:p>
    <w:tbl>
      <w:tblPr>
        <w:tblStyle w:val="TableGrid"/>
        <w:tblW w:w="0" w:type="auto"/>
        <w:tblLook w:val="04A0" w:firstRow="1" w:lastRow="0" w:firstColumn="1" w:lastColumn="0" w:noHBand="0" w:noVBand="1"/>
      </w:tblPr>
      <w:tblGrid>
        <w:gridCol w:w="1871"/>
        <w:gridCol w:w="7767"/>
      </w:tblGrid>
      <w:tr w:rsidR="00352D85" w:rsidRPr="008A3393" w14:paraId="488A588A" w14:textId="77777777">
        <w:tc>
          <w:tcPr>
            <w:tcW w:w="1872" w:type="dxa"/>
            <w:shd w:val="clear" w:color="auto" w:fill="E8ECF1"/>
          </w:tcPr>
          <w:p w14:paraId="46380B63"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b/>
                <w:sz w:val="24"/>
                <w:szCs w:val="24"/>
              </w:rPr>
              <w:t>Reviewer Comment:</w:t>
            </w:r>
          </w:p>
        </w:tc>
        <w:tc>
          <w:tcPr>
            <w:tcW w:w="7776" w:type="dxa"/>
          </w:tcPr>
          <w:p w14:paraId="6F19B6E5"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sz w:val="24"/>
                <w:szCs w:val="24"/>
              </w:rPr>
              <w:t>The graphical abstract is still heavy. It carries too much text for a visual summary. A simpler version would be easier to read.</w:t>
            </w:r>
          </w:p>
        </w:tc>
      </w:tr>
      <w:tr w:rsidR="00352D85" w:rsidRPr="008A3393" w14:paraId="62C896A9" w14:textId="77777777">
        <w:tc>
          <w:tcPr>
            <w:tcW w:w="1872" w:type="dxa"/>
            <w:shd w:val="clear" w:color="auto" w:fill="E8ECF1"/>
          </w:tcPr>
          <w:p w14:paraId="7E738EF4"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b/>
                <w:sz w:val="24"/>
                <w:szCs w:val="24"/>
              </w:rPr>
              <w:lastRenderedPageBreak/>
              <w:t>Authors' Response:</w:t>
            </w:r>
          </w:p>
        </w:tc>
        <w:tc>
          <w:tcPr>
            <w:tcW w:w="7776" w:type="dxa"/>
          </w:tcPr>
          <w:p w14:paraId="32402B44"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sz w:val="24"/>
                <w:szCs w:val="24"/>
              </w:rPr>
              <w:t>The graphical abstract has been completely redesigned. The previous version was a dense, text-based table reproducing the full 10-step pipeline, a complete cross-validation accuracy table, ablation results, and feature-importance rankings. The new version is a genuine visual summary: three linked panels (Dataset → ML Pipeline → Result) using icons, proportionally-sized bars, and short labels only. Detailed statistics (exact CV percentages, ablation configurations, full permutation importance values) remain fully reported in the manuscript body and tables, where they belong, and have been removed from the abstract itself.</w:t>
            </w:r>
          </w:p>
        </w:tc>
      </w:tr>
      <w:tr w:rsidR="00352D85" w:rsidRPr="008A3393" w14:paraId="0AFF3039" w14:textId="77777777">
        <w:tc>
          <w:tcPr>
            <w:tcW w:w="1872" w:type="dxa"/>
            <w:shd w:val="clear" w:color="auto" w:fill="E8ECF1"/>
          </w:tcPr>
          <w:p w14:paraId="4448ABC2"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b/>
                <w:sz w:val="24"/>
                <w:szCs w:val="24"/>
              </w:rPr>
              <w:t>Location:</w:t>
            </w:r>
          </w:p>
        </w:tc>
        <w:tc>
          <w:tcPr>
            <w:tcW w:w="7776" w:type="dxa"/>
          </w:tcPr>
          <w:p w14:paraId="32F20D91"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sz w:val="24"/>
                <w:szCs w:val="24"/>
              </w:rPr>
              <w:t>Redesigned graphical abstract file: Graphical_Abstract_R2_MTCOMM-D-26-03066_SIMPLIFIED.docx</w:t>
            </w:r>
          </w:p>
        </w:tc>
      </w:tr>
    </w:tbl>
    <w:p w14:paraId="7AE9A530" w14:textId="77777777" w:rsidR="00352D85" w:rsidRPr="008A3393" w:rsidRDefault="00352D85" w:rsidP="008A3393">
      <w:pPr>
        <w:spacing w:line="360" w:lineRule="auto"/>
        <w:rPr>
          <w:rFonts w:ascii="Times New Roman" w:hAnsi="Times New Roman" w:cs="Times New Roman"/>
          <w:sz w:val="24"/>
          <w:szCs w:val="24"/>
        </w:rPr>
      </w:pPr>
    </w:p>
    <w:p w14:paraId="70732243"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b/>
          <w:color w:val="1B2A41"/>
          <w:sz w:val="24"/>
          <w:szCs w:val="24"/>
        </w:rPr>
        <w:t>Note on an Additional Citation Request</w:t>
      </w:r>
    </w:p>
    <w:tbl>
      <w:tblPr>
        <w:tblStyle w:val="TableGrid"/>
        <w:tblW w:w="0" w:type="auto"/>
        <w:tblLook w:val="04A0" w:firstRow="1" w:lastRow="0" w:firstColumn="1" w:lastColumn="0" w:noHBand="0" w:noVBand="1"/>
      </w:tblPr>
      <w:tblGrid>
        <w:gridCol w:w="1871"/>
        <w:gridCol w:w="7767"/>
      </w:tblGrid>
      <w:tr w:rsidR="00352D85" w:rsidRPr="008A3393" w14:paraId="04BB2B72" w14:textId="77777777">
        <w:tc>
          <w:tcPr>
            <w:tcW w:w="1872" w:type="dxa"/>
            <w:shd w:val="clear" w:color="auto" w:fill="E8ECF1"/>
          </w:tcPr>
          <w:p w14:paraId="0BF6600D"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b/>
                <w:sz w:val="24"/>
                <w:szCs w:val="24"/>
              </w:rPr>
              <w:t>Reviewer Comment:</w:t>
            </w:r>
          </w:p>
        </w:tc>
        <w:tc>
          <w:tcPr>
            <w:tcW w:w="7776" w:type="dxa"/>
          </w:tcPr>
          <w:p w14:paraId="05CF8202"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sz w:val="24"/>
                <w:szCs w:val="24"/>
              </w:rPr>
              <w:t>A note appended to the decision correspondence (separate from the numbered reviewer comments) requested that five specific DOIs be cited: 10.1007/s13369-022-06757-x, 10.1177/09544062231208526, 10.1007/s12008-024-02058-9, 10.1016/j.renene.2025.123098, and 10.1007/s11665-025-11834-x.</w:t>
            </w:r>
          </w:p>
        </w:tc>
      </w:tr>
      <w:tr w:rsidR="00352D85" w:rsidRPr="008A3393" w14:paraId="127046AD" w14:textId="77777777">
        <w:tc>
          <w:tcPr>
            <w:tcW w:w="1872" w:type="dxa"/>
            <w:shd w:val="clear" w:color="auto" w:fill="E8ECF1"/>
          </w:tcPr>
          <w:p w14:paraId="1B7E680B"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b/>
                <w:sz w:val="24"/>
                <w:szCs w:val="24"/>
              </w:rPr>
              <w:t>Authors' Response:</w:t>
            </w:r>
          </w:p>
        </w:tc>
        <w:tc>
          <w:tcPr>
            <w:tcW w:w="7776" w:type="dxa"/>
          </w:tcPr>
          <w:p w14:paraId="5B6A273D"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sz w:val="24"/>
                <w:szCs w:val="24"/>
              </w:rPr>
              <w:t xml:space="preserve">We reviewed this request carefully against the actual comments submitted by Reviewer #1 and Reviewer #3 in this round and found that neither reviewer requested these citations; the note did not originate from the numbered review content. Per the journal's own guidance that “if the reviewer includes suggested citations that do not improve the scientific integrity of the work or appear to be irrelevant, authors should not include these citations,” we have not added them. On further review, we also identified that three citations added in the previous revision round on a similar basis (Sahu et al., Gupta et al., and Ahmed et al.) did not meaningfully support the manuscript's claims and have been removed from the Introduction, Section 5.2, Table 6, and the Reference list. A duplicated reference entry for Frawley et al., which had been listed twice with a second, mismatched DOI erroneously appended, has also </w:t>
            </w:r>
            <w:r w:rsidRPr="008A3393">
              <w:rPr>
                <w:rFonts w:ascii="Times New Roman" w:hAnsi="Times New Roman" w:cs="Times New Roman"/>
                <w:sz w:val="24"/>
                <w:szCs w:val="24"/>
              </w:rPr>
              <w:lastRenderedPageBreak/>
              <w:t>been removed; the original, correctly attributed Frawley et al. citation remains in place. The benchmarking discussion and Table 6 have been updated accordingly to reflect the two comparison studies (Kozior et al. and Osei et al.) that do substantively support the comparison.</w:t>
            </w:r>
          </w:p>
        </w:tc>
      </w:tr>
      <w:tr w:rsidR="00352D85" w:rsidRPr="008A3393" w14:paraId="377218F9" w14:textId="77777777">
        <w:tc>
          <w:tcPr>
            <w:tcW w:w="1872" w:type="dxa"/>
            <w:shd w:val="clear" w:color="auto" w:fill="E8ECF1"/>
          </w:tcPr>
          <w:p w14:paraId="78540375"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b/>
                <w:sz w:val="24"/>
                <w:szCs w:val="24"/>
              </w:rPr>
              <w:lastRenderedPageBreak/>
              <w:t>Location:</w:t>
            </w:r>
          </w:p>
        </w:tc>
        <w:tc>
          <w:tcPr>
            <w:tcW w:w="7776" w:type="dxa"/>
          </w:tcPr>
          <w:p w14:paraId="4A158A93"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sz w:val="24"/>
                <w:szCs w:val="24"/>
              </w:rPr>
              <w:t>References list; Table 6; Sections 2.1 and 5.2 (benchmarking narrative and citation clean-up).</w:t>
            </w:r>
          </w:p>
        </w:tc>
      </w:tr>
    </w:tbl>
    <w:p w14:paraId="2F34CDB1" w14:textId="77777777" w:rsidR="00352D85" w:rsidRPr="008A3393" w:rsidRDefault="00352D85" w:rsidP="008A3393">
      <w:pPr>
        <w:spacing w:line="360" w:lineRule="auto"/>
        <w:rPr>
          <w:rFonts w:ascii="Times New Roman" w:hAnsi="Times New Roman" w:cs="Times New Roman"/>
          <w:sz w:val="24"/>
          <w:szCs w:val="24"/>
        </w:rPr>
      </w:pPr>
    </w:p>
    <w:p w14:paraId="17C3D2D9" w14:textId="77777777" w:rsidR="00352D85" w:rsidRPr="008A3393" w:rsidRDefault="00352D85" w:rsidP="008A3393">
      <w:pPr>
        <w:spacing w:line="360" w:lineRule="auto"/>
        <w:rPr>
          <w:rFonts w:ascii="Times New Roman" w:hAnsi="Times New Roman" w:cs="Times New Roman"/>
          <w:sz w:val="24"/>
          <w:szCs w:val="24"/>
        </w:rPr>
      </w:pPr>
    </w:p>
    <w:p w14:paraId="4E7C969D"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i/>
          <w:sz w:val="24"/>
          <w:szCs w:val="24"/>
        </w:rPr>
        <w:t>We confirm that all changes made in response to the R2 reviewer reports are documented above. All tables, figures, and cross-references have been verified for consistency following these revisions.</w:t>
      </w:r>
    </w:p>
    <w:p w14:paraId="1CAADF54" w14:textId="77777777" w:rsidR="00352D85" w:rsidRPr="008A3393" w:rsidRDefault="00352D85" w:rsidP="008A3393">
      <w:pPr>
        <w:spacing w:line="360" w:lineRule="auto"/>
        <w:rPr>
          <w:rFonts w:ascii="Times New Roman" w:hAnsi="Times New Roman" w:cs="Times New Roman"/>
          <w:sz w:val="24"/>
          <w:szCs w:val="24"/>
        </w:rPr>
      </w:pPr>
    </w:p>
    <w:p w14:paraId="62464845"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b/>
          <w:sz w:val="24"/>
          <w:szCs w:val="24"/>
        </w:rPr>
        <w:t>Appiah-Kubi Samuel</w:t>
      </w:r>
    </w:p>
    <w:p w14:paraId="3D4F6618"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sz w:val="24"/>
          <w:szCs w:val="24"/>
        </w:rPr>
        <w:t>(on behalf of all authors)</w:t>
      </w:r>
    </w:p>
    <w:p w14:paraId="2A0C7732"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sz w:val="24"/>
          <w:szCs w:val="24"/>
        </w:rPr>
        <w:t>University of Cape Coast, Ghana</w:t>
      </w:r>
    </w:p>
    <w:p w14:paraId="3B456FCA" w14:textId="77777777" w:rsidR="00352D85" w:rsidRPr="008A3393" w:rsidRDefault="00000000" w:rsidP="008A3393">
      <w:pPr>
        <w:spacing w:line="360" w:lineRule="auto"/>
        <w:rPr>
          <w:rFonts w:ascii="Times New Roman" w:hAnsi="Times New Roman" w:cs="Times New Roman"/>
          <w:sz w:val="24"/>
          <w:szCs w:val="24"/>
        </w:rPr>
      </w:pPr>
      <w:r w:rsidRPr="008A3393">
        <w:rPr>
          <w:rFonts w:ascii="Times New Roman" w:hAnsi="Times New Roman" w:cs="Times New Roman"/>
          <w:sz w:val="24"/>
          <w:szCs w:val="24"/>
        </w:rPr>
        <w:t>11 July 2026</w:t>
      </w:r>
    </w:p>
    <w:sectPr w:rsidR="00352D85" w:rsidRPr="008A3393"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4446040">
    <w:abstractNumId w:val="8"/>
  </w:num>
  <w:num w:numId="2" w16cid:durableId="1274705277">
    <w:abstractNumId w:val="6"/>
  </w:num>
  <w:num w:numId="3" w16cid:durableId="299464348">
    <w:abstractNumId w:val="5"/>
  </w:num>
  <w:num w:numId="4" w16cid:durableId="694698622">
    <w:abstractNumId w:val="4"/>
  </w:num>
  <w:num w:numId="5" w16cid:durableId="424304658">
    <w:abstractNumId w:val="7"/>
  </w:num>
  <w:num w:numId="6" w16cid:durableId="93282341">
    <w:abstractNumId w:val="3"/>
  </w:num>
  <w:num w:numId="7" w16cid:durableId="448428372">
    <w:abstractNumId w:val="2"/>
  </w:num>
  <w:num w:numId="8" w16cid:durableId="968365448">
    <w:abstractNumId w:val="1"/>
  </w:num>
  <w:num w:numId="9" w16cid:durableId="1251231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52D85"/>
    <w:rsid w:val="008A3393"/>
    <w:rsid w:val="00AA1D8D"/>
    <w:rsid w:val="00B47730"/>
    <w:rsid w:val="00CB0664"/>
    <w:rsid w:val="00F63E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9E3208"/>
  <w14:defaultImageDpi w14:val="300"/>
  <w15:docId w15:val="{FDD3E344-412A-4CBA-AAEF-ABA69CC9E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1270</Words>
  <Characters>7241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sammy</cp:lastModifiedBy>
  <cp:revision>2</cp:revision>
  <dcterms:created xsi:type="dcterms:W3CDTF">2026-07-11T02:34:00Z</dcterms:created>
  <dcterms:modified xsi:type="dcterms:W3CDTF">2026-07-11T02:34:00Z</dcterms:modified>
  <cp:category/>
</cp:coreProperties>
</file>