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777" w:rsidRDefault="00DD4777" w:rsidP="00DD4777">
      <w:pPr>
        <w:pStyle w:val="Heading1"/>
      </w:pPr>
      <w:proofErr w:type="spellStart"/>
      <w:r>
        <w:t>CloudSpokes</w:t>
      </w:r>
      <w:proofErr w:type="spellEnd"/>
      <w:r>
        <w:t xml:space="preserve"> </w:t>
      </w:r>
      <w:proofErr w:type="gramStart"/>
      <w:r>
        <w:t>Challenge :</w:t>
      </w:r>
      <w:proofErr w:type="gramEnd"/>
      <w:r>
        <w:t xml:space="preserve"> Apex </w:t>
      </w:r>
      <w:proofErr w:type="spellStart"/>
      <w:r>
        <w:t>Metaphone</w:t>
      </w:r>
      <w:proofErr w:type="spellEnd"/>
    </w:p>
    <w:p w:rsidR="00DD4777" w:rsidRDefault="00DD4777" w:rsidP="00DD4777">
      <w:pPr>
        <w:pStyle w:val="Heading2"/>
      </w:pPr>
      <w:r>
        <w:t xml:space="preserve">Entry </w:t>
      </w:r>
      <w:proofErr w:type="gramStart"/>
      <w:r>
        <w:t>From :</w:t>
      </w:r>
      <w:proofErr w:type="gramEnd"/>
      <w:r>
        <w:t xml:space="preserve"> Kyle Thornton</w:t>
      </w:r>
    </w:p>
    <w:p w:rsidR="00DD4777" w:rsidRDefault="00DD4777" w:rsidP="00DD4777">
      <w:r>
        <w:t xml:space="preserve">Download Jing demo video at: </w:t>
      </w:r>
      <w:hyperlink r:id="rId4" w:history="1">
        <w:r w:rsidRPr="005B7D0F">
          <w:rPr>
            <w:rStyle w:val="Hyperlink"/>
            <w:sz w:val="20"/>
            <w:szCs w:val="20"/>
          </w:rPr>
          <w:t>http://www.4shared.com/document/quDMjMHz/Kyle_Thornton_CloudSpokes_Meta.html</w:t>
        </w:r>
      </w:hyperlink>
    </w:p>
    <w:p w:rsidR="00DD4777" w:rsidRDefault="00DD4777" w:rsidP="00DD4777"/>
    <w:p w:rsidR="00160E1A" w:rsidRDefault="00DD4777" w:rsidP="002451CD">
      <w:pPr>
        <w:ind w:left="720" w:hanging="720"/>
        <w:jc w:val="right"/>
      </w:pPr>
      <w:r>
        <w:t>Install Package link</w:t>
      </w:r>
      <w:r w:rsidR="005B7D0F">
        <w:t xml:space="preserve">: </w:t>
      </w:r>
      <w:bookmarkStart w:id="0" w:name="ExportPackageDetailPage:j_id12:versionDe"/>
      <w:r w:rsidR="003F72DA">
        <w:rPr>
          <w:rStyle w:val="apple-style-span"/>
          <w:rFonts w:ascii="Arial" w:hAnsi="Arial" w:cs="Arial"/>
          <w:color w:val="000000"/>
          <w:sz w:val="18"/>
          <w:szCs w:val="18"/>
        </w:rPr>
        <w:fldChar w:fldCharType="begin"/>
      </w:r>
      <w:r w:rsidR="003F72DA">
        <w:rPr>
          <w:rStyle w:val="apple-style-span"/>
          <w:rFonts w:ascii="Arial" w:hAnsi="Arial" w:cs="Arial"/>
          <w:color w:val="000000"/>
          <w:sz w:val="18"/>
          <w:szCs w:val="18"/>
        </w:rPr>
        <w:instrText xml:space="preserve"> HYPERLINK "https://login.salesforce.com/?startURL=%2Fpackaging%2FinstallPackage.apexp%3Fp0%3D04tE00000000RRf" </w:instrText>
      </w:r>
      <w:r w:rsidR="003F72DA">
        <w:rPr>
          <w:rStyle w:val="apple-style-span"/>
          <w:rFonts w:ascii="Arial" w:hAnsi="Arial" w:cs="Arial"/>
          <w:color w:val="000000"/>
          <w:sz w:val="18"/>
          <w:szCs w:val="18"/>
        </w:rPr>
        <w:fldChar w:fldCharType="separate"/>
      </w:r>
      <w:r w:rsidR="003F72DA">
        <w:rPr>
          <w:rStyle w:val="Hyperlink"/>
          <w:rFonts w:ascii="Arial" w:hAnsi="Arial" w:cs="Arial"/>
          <w:color w:val="000000"/>
          <w:sz w:val="18"/>
          <w:szCs w:val="18"/>
        </w:rPr>
        <w:t>https://login.salesforce.com/?startURL=%2Fpackaging%2FinstallPackage.apexp%3Fp0%3D04tE00000000RRf</w:t>
      </w:r>
      <w:r w:rsidR="003F72DA">
        <w:rPr>
          <w:rStyle w:val="apple-style-span"/>
          <w:rFonts w:ascii="Arial" w:hAnsi="Arial" w:cs="Arial"/>
          <w:color w:val="000000"/>
          <w:sz w:val="18"/>
          <w:szCs w:val="18"/>
        </w:rPr>
        <w:fldChar w:fldCharType="end"/>
      </w:r>
      <w:bookmarkEnd w:id="0"/>
    </w:p>
    <w:p w:rsidR="00DD4777" w:rsidRDefault="00160E1A" w:rsidP="00DD4777">
      <w:r>
        <w:t xml:space="preserve">Password: </w:t>
      </w:r>
      <w:proofErr w:type="spellStart"/>
      <w:r>
        <w:t>cloudspokes</w:t>
      </w:r>
      <w:proofErr w:type="spellEnd"/>
    </w:p>
    <w:p w:rsidR="00DD4777" w:rsidRDefault="00DD4777" w:rsidP="00DD4777">
      <w:r>
        <w:t>Explanation</w:t>
      </w:r>
      <w:r>
        <w:br/>
      </w:r>
      <w:proofErr w:type="gramStart"/>
      <w:r>
        <w:t>This</w:t>
      </w:r>
      <w:proofErr w:type="gramEnd"/>
      <w:r>
        <w:t xml:space="preserve"> class includes methods to do the actual </w:t>
      </w:r>
      <w:proofErr w:type="spellStart"/>
      <w:r>
        <w:t>metaphone</w:t>
      </w:r>
      <w:proofErr w:type="spellEnd"/>
      <w:r>
        <w:t xml:space="preserve"> calculation as well as methods to call tools which implement the </w:t>
      </w:r>
      <w:proofErr w:type="spellStart"/>
      <w:r>
        <w:t>metaphone</w:t>
      </w:r>
      <w:proofErr w:type="spellEnd"/>
      <w:r>
        <w:t xml:space="preserve"> calculation.  The class also includes functions</w:t>
      </w:r>
      <w:r w:rsidR="00E522A8">
        <w:t xml:space="preserve"> </w:t>
      </w:r>
      <w:r>
        <w:t xml:space="preserve">used by a </w:t>
      </w:r>
      <w:proofErr w:type="spellStart"/>
      <w:r>
        <w:t>VisualForce</w:t>
      </w:r>
      <w:proofErr w:type="spellEnd"/>
      <w:r>
        <w:t xml:space="preserve"> page which serves as a Demo/Toolkit.</w:t>
      </w:r>
    </w:p>
    <w:p w:rsidR="00DD4777" w:rsidRPr="00DD4777" w:rsidRDefault="00DD4777" w:rsidP="00DD4777">
      <w:r>
        <w:t>Access the page using the relative URL: /apex/pages/</w:t>
      </w:r>
      <w:proofErr w:type="spellStart"/>
      <w:r>
        <w:t>Metaphone</w:t>
      </w:r>
      <w:proofErr w:type="spellEnd"/>
    </w:p>
    <w:p w:rsidR="00DD4777" w:rsidRDefault="00DD4777" w:rsidP="00DD4777">
      <w:pPr>
        <w:pStyle w:val="Heading2"/>
      </w:pPr>
      <w:proofErr w:type="spellStart"/>
      <w:r>
        <w:t>Metaphone</w:t>
      </w:r>
      <w:proofErr w:type="spellEnd"/>
      <w:r>
        <w:t xml:space="preserve"> Methods</w:t>
      </w:r>
    </w:p>
    <w:p w:rsidR="00DD4777" w:rsidRDefault="00DD4777" w:rsidP="00DD4777">
      <w:r>
        <w:t xml:space="preserve">While there are 14 methods </w:t>
      </w:r>
      <w:r w:rsidR="00E522A8">
        <w:t xml:space="preserve">in the </w:t>
      </w:r>
      <w:proofErr w:type="spellStart"/>
      <w:r w:rsidR="00E522A8">
        <w:t>Metaphone</w:t>
      </w:r>
      <w:proofErr w:type="spellEnd"/>
      <w:r w:rsidR="00E522A8">
        <w:t xml:space="preserve"> Class, only 4</w:t>
      </w:r>
      <w:r>
        <w:t xml:space="preserve"> are for use in triggers and classes.  The rest are helpers for the </w:t>
      </w:r>
      <w:proofErr w:type="spellStart"/>
      <w:proofErr w:type="gramStart"/>
      <w:r>
        <w:t>VisualForce</w:t>
      </w:r>
      <w:proofErr w:type="spellEnd"/>
      <w:r>
        <w:t xml:space="preserve">  toolkit</w:t>
      </w:r>
      <w:proofErr w:type="gramEnd"/>
      <w:r>
        <w:t xml:space="preserve"> or helpers for the user callable methods.</w:t>
      </w:r>
    </w:p>
    <w:tbl>
      <w:tblPr>
        <w:tblStyle w:val="TableGrid"/>
        <w:tblW w:w="11700" w:type="dxa"/>
        <w:tblInd w:w="-1332" w:type="dxa"/>
        <w:tblLayout w:type="fixed"/>
        <w:tblLook w:val="00BF"/>
      </w:tblPr>
      <w:tblGrid>
        <w:gridCol w:w="2340"/>
        <w:gridCol w:w="2700"/>
        <w:gridCol w:w="990"/>
        <w:gridCol w:w="4500"/>
        <w:gridCol w:w="1170"/>
      </w:tblGrid>
      <w:tr w:rsidR="00DD4777">
        <w:trPr>
          <w:trHeight w:val="656"/>
        </w:trPr>
        <w:tc>
          <w:tcPr>
            <w:tcW w:w="2340" w:type="dxa"/>
          </w:tcPr>
          <w:p w:rsidR="00DD4777" w:rsidRPr="00DD4777" w:rsidRDefault="00DD4777" w:rsidP="00DD4777">
            <w:pPr>
              <w:rPr>
                <w:b/>
              </w:rPr>
            </w:pPr>
            <w:r w:rsidRPr="00DD4777">
              <w:rPr>
                <w:b/>
              </w:rPr>
              <w:t>Name</w:t>
            </w:r>
          </w:p>
        </w:tc>
        <w:tc>
          <w:tcPr>
            <w:tcW w:w="2700" w:type="dxa"/>
          </w:tcPr>
          <w:p w:rsidR="00DD4777" w:rsidRPr="00DD4777" w:rsidRDefault="00DD4777" w:rsidP="00DD4777">
            <w:pPr>
              <w:rPr>
                <w:b/>
              </w:rPr>
            </w:pPr>
            <w:r>
              <w:rPr>
                <w:b/>
              </w:rPr>
              <w:t>Arguments</w:t>
            </w:r>
          </w:p>
        </w:tc>
        <w:tc>
          <w:tcPr>
            <w:tcW w:w="990" w:type="dxa"/>
          </w:tcPr>
          <w:p w:rsidR="00DD4777" w:rsidRPr="00DD4777" w:rsidRDefault="00DD4777" w:rsidP="00DD4777">
            <w:pPr>
              <w:rPr>
                <w:b/>
              </w:rPr>
            </w:pPr>
            <w:r w:rsidRPr="00DD4777">
              <w:rPr>
                <w:b/>
              </w:rPr>
              <w:t>Return</w:t>
            </w:r>
            <w:r>
              <w:rPr>
                <w:b/>
              </w:rPr>
              <w:t xml:space="preserve"> Type</w:t>
            </w:r>
          </w:p>
        </w:tc>
        <w:tc>
          <w:tcPr>
            <w:tcW w:w="4500" w:type="dxa"/>
          </w:tcPr>
          <w:p w:rsidR="00DD4777" w:rsidRPr="00DD4777" w:rsidRDefault="00DD4777" w:rsidP="00DD4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170" w:type="dxa"/>
          </w:tcPr>
          <w:p w:rsidR="00DD4777" w:rsidRDefault="00DD4777" w:rsidP="00DD4777">
            <w:pPr>
              <w:rPr>
                <w:b/>
              </w:rPr>
            </w:pPr>
            <w:r>
              <w:rPr>
                <w:b/>
              </w:rPr>
              <w:t>Static or Instance</w:t>
            </w:r>
          </w:p>
        </w:tc>
      </w:tr>
      <w:tr w:rsidR="00E522A8">
        <w:tc>
          <w:tcPr>
            <w:tcW w:w="234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color w:val="000000"/>
                <w:sz w:val="20"/>
                <w:szCs w:val="20"/>
              </w:rPr>
              <w:t>calculate</w:t>
            </w:r>
          </w:p>
        </w:tc>
        <w:tc>
          <w:tcPr>
            <w:tcW w:w="270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String</w:t>
            </w:r>
          </w:p>
        </w:tc>
        <w:tc>
          <w:tcPr>
            <w:tcW w:w="99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String</w:t>
            </w:r>
          </w:p>
        </w:tc>
        <w:tc>
          <w:tcPr>
            <w:tcW w:w="450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 xml:space="preserve">Calculates the </w:t>
            </w:r>
            <w:proofErr w:type="spellStart"/>
            <w:r w:rsidRPr="005B7D0F">
              <w:rPr>
                <w:sz w:val="20"/>
                <w:szCs w:val="20"/>
              </w:rPr>
              <w:t>metaphone</w:t>
            </w:r>
            <w:proofErr w:type="spellEnd"/>
            <w:r w:rsidRPr="005B7D0F">
              <w:rPr>
                <w:sz w:val="20"/>
                <w:szCs w:val="20"/>
              </w:rPr>
              <w:t xml:space="preserve"> translation of the given string</w:t>
            </w:r>
          </w:p>
        </w:tc>
        <w:tc>
          <w:tcPr>
            <w:tcW w:w="117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Static</w:t>
            </w:r>
          </w:p>
        </w:tc>
      </w:tr>
      <w:tr w:rsidR="00E522A8">
        <w:tc>
          <w:tcPr>
            <w:tcW w:w="234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proofErr w:type="spellStart"/>
            <w:r w:rsidRPr="005B7D0F">
              <w:rPr>
                <w:color w:val="000000"/>
                <w:sz w:val="20"/>
                <w:szCs w:val="20"/>
              </w:rPr>
              <w:t>callCalculateObject</w:t>
            </w:r>
            <w:proofErr w:type="spellEnd"/>
          </w:p>
        </w:tc>
        <w:tc>
          <w:tcPr>
            <w:tcW w:w="2700" w:type="dxa"/>
          </w:tcPr>
          <w:p w:rsidR="00E522A8" w:rsidRPr="005B7D0F" w:rsidRDefault="00E522A8" w:rsidP="00DD4777">
            <w:pPr>
              <w:rPr>
                <w:color w:val="000000"/>
                <w:sz w:val="20"/>
                <w:szCs w:val="20"/>
              </w:rPr>
            </w:pPr>
            <w:r w:rsidRPr="005B7D0F">
              <w:rPr>
                <w:color w:val="000000"/>
                <w:sz w:val="20"/>
                <w:szCs w:val="20"/>
              </w:rPr>
              <w:t>String </w:t>
            </w:r>
            <w:proofErr w:type="spellStart"/>
            <w:r w:rsidRPr="005B7D0F">
              <w:rPr>
                <w:color w:val="000000"/>
                <w:sz w:val="20"/>
                <w:szCs w:val="20"/>
              </w:rPr>
              <w:t>objName</w:t>
            </w:r>
            <w:proofErr w:type="spellEnd"/>
          </w:p>
          <w:p w:rsidR="00E522A8" w:rsidRPr="005B7D0F" w:rsidRDefault="00E522A8" w:rsidP="00DD4777">
            <w:pPr>
              <w:rPr>
                <w:color w:val="000000"/>
                <w:sz w:val="20"/>
                <w:szCs w:val="20"/>
              </w:rPr>
            </w:pPr>
            <w:r w:rsidRPr="005B7D0F">
              <w:rPr>
                <w:color w:val="000000"/>
                <w:sz w:val="20"/>
                <w:szCs w:val="20"/>
              </w:rPr>
              <w:t>String fieldname</w:t>
            </w:r>
          </w:p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color w:val="000000"/>
                <w:sz w:val="20"/>
                <w:szCs w:val="20"/>
              </w:rPr>
              <w:t>String </w:t>
            </w:r>
            <w:proofErr w:type="spellStart"/>
            <w:r w:rsidRPr="005B7D0F">
              <w:rPr>
                <w:color w:val="000000"/>
                <w:sz w:val="20"/>
                <w:szCs w:val="20"/>
              </w:rPr>
              <w:t>metaphoneField</w:t>
            </w:r>
            <w:proofErr w:type="spellEnd"/>
          </w:p>
        </w:tc>
        <w:tc>
          <w:tcPr>
            <w:tcW w:w="99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String</w:t>
            </w:r>
          </w:p>
        </w:tc>
        <w:tc>
          <w:tcPr>
            <w:tcW w:w="450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 xml:space="preserve">Given API Names for an Object, field and </w:t>
            </w:r>
            <w:proofErr w:type="spellStart"/>
            <w:r w:rsidRPr="005B7D0F">
              <w:rPr>
                <w:sz w:val="20"/>
                <w:szCs w:val="20"/>
              </w:rPr>
              <w:t>metaphone</w:t>
            </w:r>
            <w:proofErr w:type="spellEnd"/>
            <w:r w:rsidRPr="005B7D0F">
              <w:rPr>
                <w:sz w:val="20"/>
                <w:szCs w:val="20"/>
              </w:rPr>
              <w:t xml:space="preserve"> field, data is calculated on as many records as possible before governor limits are reached.  May need to call multiple times to process all data.</w:t>
            </w:r>
          </w:p>
        </w:tc>
        <w:tc>
          <w:tcPr>
            <w:tcW w:w="117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Instance</w:t>
            </w:r>
          </w:p>
        </w:tc>
      </w:tr>
      <w:tr w:rsidR="00E522A8">
        <w:tc>
          <w:tcPr>
            <w:tcW w:w="234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proofErr w:type="spellStart"/>
            <w:r w:rsidRPr="005B7D0F">
              <w:rPr>
                <w:sz w:val="20"/>
                <w:szCs w:val="20"/>
              </w:rPr>
              <w:t>matchingList</w:t>
            </w:r>
            <w:proofErr w:type="spellEnd"/>
          </w:p>
        </w:tc>
        <w:tc>
          <w:tcPr>
            <w:tcW w:w="2700" w:type="dxa"/>
          </w:tcPr>
          <w:p w:rsidR="00E522A8" w:rsidRPr="005B7D0F" w:rsidRDefault="00E522A8" w:rsidP="00E522A8">
            <w:pPr>
              <w:rPr>
                <w:color w:val="000000"/>
                <w:sz w:val="20"/>
                <w:szCs w:val="20"/>
              </w:rPr>
            </w:pPr>
            <w:r w:rsidRPr="005B7D0F">
              <w:rPr>
                <w:color w:val="000000"/>
                <w:sz w:val="20"/>
                <w:szCs w:val="20"/>
              </w:rPr>
              <w:t>String </w:t>
            </w:r>
            <w:proofErr w:type="spellStart"/>
            <w:r w:rsidRPr="005B7D0F">
              <w:rPr>
                <w:color w:val="000000"/>
                <w:sz w:val="20"/>
                <w:szCs w:val="20"/>
              </w:rPr>
              <w:t>inputString</w:t>
            </w:r>
            <w:proofErr w:type="spellEnd"/>
          </w:p>
          <w:p w:rsidR="00E522A8" w:rsidRPr="005B7D0F" w:rsidRDefault="00E522A8" w:rsidP="00E522A8">
            <w:pPr>
              <w:rPr>
                <w:color w:val="000000"/>
                <w:sz w:val="20"/>
                <w:szCs w:val="20"/>
              </w:rPr>
            </w:pPr>
            <w:r w:rsidRPr="005B7D0F">
              <w:rPr>
                <w:color w:val="000000"/>
                <w:sz w:val="20"/>
                <w:szCs w:val="20"/>
              </w:rPr>
              <w:t>String </w:t>
            </w:r>
            <w:proofErr w:type="spellStart"/>
            <w:r w:rsidRPr="005B7D0F">
              <w:rPr>
                <w:color w:val="000000"/>
                <w:sz w:val="20"/>
                <w:szCs w:val="20"/>
              </w:rPr>
              <w:t>objName</w:t>
            </w:r>
            <w:proofErr w:type="spellEnd"/>
          </w:p>
          <w:p w:rsidR="00E522A8" w:rsidRPr="005B7D0F" w:rsidRDefault="00E522A8" w:rsidP="00E522A8">
            <w:pPr>
              <w:rPr>
                <w:color w:val="000000"/>
                <w:sz w:val="20"/>
                <w:szCs w:val="20"/>
              </w:rPr>
            </w:pPr>
            <w:r w:rsidRPr="005B7D0F">
              <w:rPr>
                <w:color w:val="000000"/>
                <w:sz w:val="20"/>
                <w:szCs w:val="20"/>
              </w:rPr>
              <w:t>String fieldname</w:t>
            </w:r>
          </w:p>
          <w:p w:rsidR="00E522A8" w:rsidRPr="005B7D0F" w:rsidRDefault="00E522A8" w:rsidP="00E522A8">
            <w:pPr>
              <w:rPr>
                <w:sz w:val="20"/>
                <w:szCs w:val="20"/>
              </w:rPr>
            </w:pPr>
            <w:r w:rsidRPr="005B7D0F">
              <w:rPr>
                <w:color w:val="000000"/>
                <w:sz w:val="20"/>
                <w:szCs w:val="20"/>
              </w:rPr>
              <w:t>String </w:t>
            </w:r>
            <w:proofErr w:type="spellStart"/>
            <w:r w:rsidRPr="005B7D0F">
              <w:rPr>
                <w:color w:val="000000"/>
                <w:sz w:val="20"/>
                <w:szCs w:val="20"/>
              </w:rPr>
              <w:t>metaphoneField</w:t>
            </w:r>
            <w:proofErr w:type="spellEnd"/>
          </w:p>
          <w:p w:rsidR="00E522A8" w:rsidRPr="005B7D0F" w:rsidRDefault="00E522A8" w:rsidP="00DD4777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List&lt;String&gt;</w:t>
            </w:r>
          </w:p>
        </w:tc>
        <w:tc>
          <w:tcPr>
            <w:tcW w:w="450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 xml:space="preserve">Given </w:t>
            </w:r>
            <w:proofErr w:type="spellStart"/>
            <w:r w:rsidRPr="005B7D0F">
              <w:rPr>
                <w:sz w:val="20"/>
                <w:szCs w:val="20"/>
              </w:rPr>
              <w:t>api</w:t>
            </w:r>
            <w:proofErr w:type="spellEnd"/>
            <w:r w:rsidRPr="005B7D0F">
              <w:rPr>
                <w:sz w:val="20"/>
                <w:szCs w:val="20"/>
              </w:rPr>
              <w:t xml:space="preserve"> names for the input string, the object to match on, the field name to return and the </w:t>
            </w:r>
            <w:proofErr w:type="spellStart"/>
            <w:r w:rsidRPr="005B7D0F">
              <w:rPr>
                <w:sz w:val="20"/>
                <w:szCs w:val="20"/>
              </w:rPr>
              <w:t>metaphone</w:t>
            </w:r>
            <w:proofErr w:type="spellEnd"/>
            <w:r w:rsidRPr="005B7D0F">
              <w:rPr>
                <w:sz w:val="20"/>
                <w:szCs w:val="20"/>
              </w:rPr>
              <w:t xml:space="preserve"> field to check, a list of strings from the ‘fieldname’ are returned.</w:t>
            </w:r>
          </w:p>
        </w:tc>
        <w:tc>
          <w:tcPr>
            <w:tcW w:w="117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Instance</w:t>
            </w:r>
          </w:p>
        </w:tc>
      </w:tr>
      <w:tr w:rsidR="00E522A8">
        <w:tc>
          <w:tcPr>
            <w:tcW w:w="234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reset</w:t>
            </w:r>
          </w:p>
        </w:tc>
        <w:tc>
          <w:tcPr>
            <w:tcW w:w="270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color w:val="000000"/>
                <w:sz w:val="20"/>
                <w:szCs w:val="20"/>
              </w:rPr>
              <w:t>String </w:t>
            </w:r>
            <w:proofErr w:type="spellStart"/>
            <w:r w:rsidRPr="005B7D0F">
              <w:rPr>
                <w:color w:val="000000"/>
                <w:sz w:val="20"/>
                <w:szCs w:val="20"/>
              </w:rPr>
              <w:t>theFieldToClearString</w:t>
            </w:r>
            <w:proofErr w:type="spellEnd"/>
            <w:r w:rsidRPr="005B7D0F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5B7D0F">
              <w:rPr>
                <w:color w:val="000000"/>
                <w:sz w:val="20"/>
                <w:szCs w:val="20"/>
              </w:rPr>
              <w:t>theResetObject</w:t>
            </w:r>
            <w:proofErr w:type="spellEnd"/>
          </w:p>
        </w:tc>
        <w:tc>
          <w:tcPr>
            <w:tcW w:w="99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N/A</w:t>
            </w:r>
          </w:p>
        </w:tc>
        <w:tc>
          <w:tcPr>
            <w:tcW w:w="450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Give the API names of the field to remove data from and the Object that field is on to clear out the data from that field</w:t>
            </w:r>
          </w:p>
        </w:tc>
        <w:tc>
          <w:tcPr>
            <w:tcW w:w="1170" w:type="dxa"/>
          </w:tcPr>
          <w:p w:rsidR="00E522A8" w:rsidRPr="005B7D0F" w:rsidRDefault="00E522A8" w:rsidP="00DD4777">
            <w:pPr>
              <w:rPr>
                <w:sz w:val="20"/>
                <w:szCs w:val="20"/>
              </w:rPr>
            </w:pPr>
            <w:r w:rsidRPr="005B7D0F">
              <w:rPr>
                <w:sz w:val="20"/>
                <w:szCs w:val="20"/>
              </w:rPr>
              <w:t>instance</w:t>
            </w:r>
          </w:p>
        </w:tc>
      </w:tr>
    </w:tbl>
    <w:p w:rsidR="00DD4777" w:rsidRPr="00DD4777" w:rsidRDefault="00DD4777" w:rsidP="00DD4777"/>
    <w:sectPr w:rsidR="00DD4777" w:rsidRPr="00DD4777" w:rsidSect="00DD47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DD4777"/>
    <w:rsid w:val="00002160"/>
    <w:rsid w:val="00160E1A"/>
    <w:rsid w:val="002451CD"/>
    <w:rsid w:val="003F72DA"/>
    <w:rsid w:val="00415A01"/>
    <w:rsid w:val="004F6516"/>
    <w:rsid w:val="005B7D0F"/>
    <w:rsid w:val="00DD4777"/>
    <w:rsid w:val="00E522A8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827454"/>
  </w:style>
  <w:style w:type="paragraph" w:styleId="Heading1">
    <w:name w:val="heading 1"/>
    <w:basedOn w:val="Normal"/>
    <w:next w:val="Normal"/>
    <w:link w:val="Heading1Char"/>
    <w:uiPriority w:val="9"/>
    <w:qFormat/>
    <w:rsid w:val="00DD4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77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DD4777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DD4777"/>
  </w:style>
  <w:style w:type="table" w:styleId="TableGrid">
    <w:name w:val="Table Grid"/>
    <w:basedOn w:val="TableNormal"/>
    <w:rsid w:val="00DD4777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4shared.com/document/quDMjMHz/Kyle_Thornton_CloudSpokes_Me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329</Words>
  <Characters>1616</Characters>
  <Application>Microsoft Office Word</Application>
  <DocSecurity>0</DocSecurity>
  <Lines>19</Lines>
  <Paragraphs>4</Paragraphs>
  <ScaleCrop>false</ScaleCrop>
  <Company>Interactive Data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kthornton</dc:creator>
  <cp:keywords/>
  <cp:lastModifiedBy>kthornton</cp:lastModifiedBy>
  <cp:revision>4</cp:revision>
  <dcterms:created xsi:type="dcterms:W3CDTF">2011-05-12T12:05:00Z</dcterms:created>
  <dcterms:modified xsi:type="dcterms:W3CDTF">2011-05-12T12:44:00Z</dcterms:modified>
</cp:coreProperties>
</file>