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00090" w14:textId="77777777" w:rsidR="009473B3" w:rsidRDefault="00000000">
      <w:pPr>
        <w:pStyle w:val="Title"/>
      </w:pPr>
      <w:r>
        <w:t>Using U.S. States to Investigate the Role of Sociopolitical Differences in Health</w:t>
      </w:r>
    </w:p>
    <w:p w14:paraId="4E929005" w14:textId="77777777" w:rsidR="009473B3" w:rsidRDefault="00000000">
      <w:pPr>
        <w:pStyle w:val="Subtitle"/>
      </w:pPr>
      <w:r>
        <w:t>Dissertation Proposal</w:t>
      </w:r>
    </w:p>
    <w:p w14:paraId="67ABE562" w14:textId="77777777" w:rsidR="009473B3" w:rsidRDefault="00000000">
      <w:r>
        <w:t>A. Pittman, MGS</w:t>
      </w:r>
    </w:p>
    <w:p w14:paraId="488BCB13" w14:textId="77777777" w:rsidR="009473B3" w:rsidRDefault="00000000">
      <w:r>
        <w:t>March 26, 2024</w:t>
      </w:r>
    </w:p>
    <w:p w14:paraId="35FA7603" w14:textId="77777777" w:rsidR="009473B3" w:rsidRDefault="00000000">
      <w:r>
        <w:br w:type="page"/>
      </w:r>
    </w:p>
    <w:p w14:paraId="648E3052" w14:textId="77777777" w:rsidR="009473B3" w:rsidRDefault="00000000">
      <w:pPr>
        <w:pStyle w:val="Heading1"/>
      </w:pPr>
      <w:bookmarkStart w:id="0" w:name="summary"/>
      <w:r>
        <w:lastRenderedPageBreak/>
        <w:t>Summary</w:t>
      </w:r>
    </w:p>
    <w:p w14:paraId="3DE0B4D2" w14:textId="77777777" w:rsidR="009473B3" w:rsidRDefault="00000000">
      <w:r>
        <w:t xml:space="preserve">The first proposed paper in my dissertation is titled “Voting Rights and Population Health.” My central argument in this paper is that protecting voting rights leads to tangible population health benefits, specifically in the reduction of health disparities. To measure voting rights, I will measure several aspects of a state’s electoral structure that protect or enhance an individual’s right to vote: automatic voter registration, same-day registration, absentee voting, laws regulating poll watchers, and gerrymandering. All of these things are important because they influence an individual’s actual </w:t>
      </w:r>
      <w:r>
        <w:rPr>
          <w:i/>
          <w:iCs/>
        </w:rPr>
        <w:t>and perceived</w:t>
      </w:r>
      <w:r>
        <w:t xml:space="preserve"> ability to participate in democracy. To measure population health, I will use measures of infant health. The contribution of this paper to the sociological field will be twofold: first, there is a dearth of sociological research on gerrymandering that considers it as a part of a larger sociopolitical structure aimed at systematically depriving certain groups of the resources they need to survive. Second, while there have been important theoretical developments recently in the consideration of voting rights as a fundamental cause of health disparities, little research exists as of yet that supports this empirically.</w:t>
      </w:r>
    </w:p>
    <w:p w14:paraId="7085BFDE" w14:textId="77777777" w:rsidR="009473B3" w:rsidRDefault="00000000">
      <w:r>
        <w:t xml:space="preserve">The second proposed paper in my dissertation is titled “Anti-Trans Legislation and Mental Health: Spillover Effects.” The paper aims to unite two separate threads of sociological research to better understand the current situation regarding the flood of anti-trans laws and its impact on mental health. The first is the literature on </w:t>
      </w:r>
      <w:r>
        <w:rPr>
          <w:i/>
          <w:iCs/>
        </w:rPr>
        <w:t>structural stigma and oppression</w:t>
      </w:r>
      <w:r>
        <w:t xml:space="preserve">. This research has not reached a consensus on how to account for trans individuals; to help resolve this issue, I believe it is useful to look to analogous work in the sociology of race on </w:t>
      </w:r>
      <w:r>
        <w:rPr>
          <w:i/>
          <w:iCs/>
        </w:rPr>
        <w:t>racialized legal status</w:t>
      </w:r>
      <w:r>
        <w:t xml:space="preserve">. Policies restricting the activities, opportunities, and well-being of trans individuals create, if you will, a “transgender legal status.” This primarily exposes trans individuals to stress, but it may also expose fellow group members (i.e. cisgender LGBQ people) to increased stress. In addition, cisgender LGBQ individuals who do </w:t>
      </w:r>
      <w:r>
        <w:rPr>
          <w:i/>
          <w:iCs/>
        </w:rPr>
        <w:t>not</w:t>
      </w:r>
      <w:r>
        <w:t xml:space="preserve"> see themselves as trans may nevertheless be targets for transphobia, due to being lumped together by out-groups (see the experiences of cisgender drag queens banned from performing and butch lesbians being yelled at in women’s bathrooms). The independent variable of interest is the introduction and passage of anti-trans laws; this data will come from Trans Legislation Tracker, a project which has documented bills that impact trans lives since 2021. The dependent variable of interest is mental health. I will be using data from the Census’s Household Pulse Survey to assess this variable. This research is important because it may be used to better understand the experiences of trans and LGBQ people during this time, and thus offer better support.</w:t>
      </w:r>
    </w:p>
    <w:p w14:paraId="561E90D9" w14:textId="77777777" w:rsidR="009473B3" w:rsidRDefault="00000000">
      <w:r>
        <w:t xml:space="preserve">The third proposed paper in my dissertation is titled “Abortion Protections and Womens’ Mental Health.” The Supreme Court’s ruling in </w:t>
      </w:r>
      <w:r>
        <w:rPr>
          <w:i/>
          <w:iCs/>
        </w:rPr>
        <w:t>Dobbs v. Jackson</w:t>
      </w:r>
      <w:r>
        <w:t xml:space="preserve"> in June of 2022 overturned key elements of a previous case, </w:t>
      </w:r>
      <w:r>
        <w:rPr>
          <w:i/>
          <w:iCs/>
        </w:rPr>
        <w:t>Roe v. Wade</w:t>
      </w:r>
      <w:r>
        <w:t>, which protected a woman’s right to an abortion. Nine states had “trigger laws” in place in anticipation of the ruling, which rendered abortion immediately illegal in most or all cases; by a year post-</w:t>
      </w:r>
      <w:r>
        <w:rPr>
          <w:i/>
          <w:iCs/>
        </w:rPr>
        <w:t>Dobbs</w:t>
      </w:r>
      <w:r>
        <w:t xml:space="preserve">, thirteen states had banned abortion completely, with several others imposing extreme limitations on how and when women could seek abortions (Baden and Driver 2023). However, a countervailing trend also emerged across multiple states; some states passed constitutional amendments protecting the right to abortion, while others implemented new statutory protections (Anon 2024). Given the documented negative effects on mental health of abortion restrictions (Thornburg et al. 2024; Zandberg et al. 2023), it is perhaps surprising that little research to date has addressed the inverse process: does enacting protections to abortion improve women’s mental health? The recent </w:t>
      </w:r>
      <w:r>
        <w:lastRenderedPageBreak/>
        <w:t xml:space="preserve">changes in abortion protections in several states provides a unique opportunity to answer this question. The independent variable of interest is </w:t>
      </w:r>
      <w:r>
        <w:rPr>
          <w:i/>
          <w:iCs/>
        </w:rPr>
        <w:t>new</w:t>
      </w:r>
      <w:r>
        <w:t xml:space="preserve"> state-level protections of abortion rights post-</w:t>
      </w:r>
      <w:r>
        <w:rPr>
          <w:i/>
          <w:iCs/>
        </w:rPr>
        <w:t>Dobbs</w:t>
      </w:r>
      <w:r>
        <w:t>, which can take the form of constitutional amendments or enacted legislation. Sources like the Guttmacher Institute and the Center for Reproductive Rights will be a useful starting point for this. The dependent variable of interest is mental health. I will be using data from the Census’s Household Pulse Survey to assess this variable. This research is important because it empirically tests an implied corollary of the theory that reductions in control and autonomy have negative impacts on mental health: improvements in control in autonomy should, therefore, have positive impacts on mental health, but this has not been empirically verified in the case of abortion laws.</w:t>
      </w:r>
    </w:p>
    <w:p w14:paraId="6DA7AF91" w14:textId="77777777" w:rsidR="009473B3" w:rsidRDefault="00000000">
      <w:r>
        <w:t>The three papers are connected under a common theme: the importance of U.S. States as “mini-societies” with divergent institutional environments that, in turn, engender divergent population health realities. My dissertation will contribute to the understanding that states, while internally heterogeneous, have certain essential differences that can have tangible impacts on health.</w:t>
      </w:r>
    </w:p>
    <w:p w14:paraId="55074C9A" w14:textId="77777777" w:rsidR="009473B3" w:rsidRDefault="00000000">
      <w:r>
        <w:br w:type="page"/>
      </w:r>
    </w:p>
    <w:p w14:paraId="1412A49D" w14:textId="77777777" w:rsidR="009473B3" w:rsidRDefault="00000000">
      <w:pPr>
        <w:pStyle w:val="Heading1"/>
      </w:pPr>
      <w:bookmarkStart w:id="1" w:name="Xe73d673d660ec78a3eda6d9b985da6d8e6b5cc1"/>
      <w:bookmarkEnd w:id="0"/>
      <w:r>
        <w:lastRenderedPageBreak/>
        <w:t>Paper 1: Voting Rights and Population Health</w:t>
      </w:r>
    </w:p>
    <w:p w14:paraId="2A41C765" w14:textId="77777777" w:rsidR="009473B3" w:rsidRDefault="00000000">
      <w:pPr>
        <w:pStyle w:val="Heading2"/>
      </w:pPr>
      <w:bookmarkStart w:id="2" w:name="background"/>
      <w:r>
        <w:t>Background</w:t>
      </w:r>
    </w:p>
    <w:p w14:paraId="388B358C" w14:textId="77777777" w:rsidR="009473B3" w:rsidRDefault="00000000">
      <w:r>
        <w:t>My central argument in this paper is that protecting voting rights leads to tangible population health benefits, specifically in the reduction of health disparities. Why might this be true? Research and theory on structural racism as a fundamental cause of health disparities has highlighted the impact that structural racism has on flexible resources, including (but not limited to) money, neighborhood context, and power (Phelan and Link 2015). Racism shapes access to these resources, which in turn shape health inequalities, resulting in the disproportionately high burden of disease on Black and Latinx communities (Garcia et al. 2021). My argument is that protecting and expanding voting rights has the inverse effect, increasing equity in flexible resource allocation, which in turn reduces socioeconomic and racial disparities in population health. Previous research shows that income inequality has a causal relationship with health (Pickett and Wilkinson 2015). To the extent that expanding voting rights reduces income inequality, then, we should see a reduction in health disparities in states with fairer voting environments. We may expect states with more voting rights, for example, to implement policies and laws that increase access to welfare and other social resources (HIng 2018; Yagoda 2019).</w:t>
      </w:r>
    </w:p>
    <w:p w14:paraId="4F921D1E" w14:textId="77777777" w:rsidR="009473B3" w:rsidRDefault="00000000">
      <w:r>
        <w:t>In addition to such policies that are decided via popular vote and thus influenced by voting rights in a straightforward way, research has shown that fairer elections lead to more politician responsiveness in general, perhaps due to an expectation of electoral sanctions for poor performance (Ofosu 2019). Essentially, if a politician does not have to worry about a segment of the population voting them out of office (because they have sufficiently limited that segment’s participation in elections), they do not have to cater to the entire population’s needs while in office; instead, they are free to allocate resources elsewhere, namely to the rich, white constituency that is least affected by threats to democracy. Protecting voting rights helps curb this cycle, and since we know that resource allocation is related to health, we should expect that states with fairer voting environments have reduced health disparities.</w:t>
      </w:r>
    </w:p>
    <w:p w14:paraId="3373D8E6" w14:textId="77777777" w:rsidR="009473B3" w:rsidRDefault="00000000">
      <w:r>
        <w:t xml:space="preserve">To measure voting rights, I will measure several aspects of a state’s electoral structure that protect or enhance an individual’s right to vote: automatic voter registration, same-day registration, absentee voting, laws regulating felony disenfranchisement, and gerrymandering. All of these things are important because they influence an individual’s actual </w:t>
      </w:r>
      <w:r>
        <w:rPr>
          <w:i/>
          <w:iCs/>
        </w:rPr>
        <w:t>and perceived</w:t>
      </w:r>
      <w:r>
        <w:t xml:space="preserve"> ability to participate in democracy. I do not have the space in this proposal to fully explore the evidence in this area, but for now, a few relevant citations: Bernardi et al. (2023), Shineman (2020), Rugeley and Jackson (2009), Hing (2024), Homan and Brown (2022). Lower indices of voting rights have previously been linked to lower rates of health insurance and higher COVID-19 case counts and mortality rates (Hing 2024). However, these measures have not, to date, included a measure of gerrymandering. By ending the analysis of voting rights as the vote is cast, previous measures miss the inherent unfairness baked into how these votes are </w:t>
      </w:r>
      <w:r>
        <w:rPr>
          <w:i/>
          <w:iCs/>
        </w:rPr>
        <w:t>counted</w:t>
      </w:r>
      <w:r>
        <w:t xml:space="preserve">; gerrymandering compounds the negative impacts of other aspects of voting rights by reducing voter </w:t>
      </w:r>
      <w:r>
        <w:rPr>
          <w:i/>
          <w:iCs/>
        </w:rPr>
        <w:t>efficacy</w:t>
      </w:r>
      <w:r>
        <w:t>. Therefore, it deserves to be considered alongside other measures of voting rights. Recent theoretical work has made this connection, but to date, little empirical research exists that integrates the two (Pomeranz 2024).</w:t>
      </w:r>
    </w:p>
    <w:p w14:paraId="7E54B097" w14:textId="77777777" w:rsidR="009473B3" w:rsidRDefault="00000000">
      <w:r>
        <w:t xml:space="preserve">To measure population health, I will use measures of infant health (further detail explained below). Infant health outcomes have been used widely in sociological research on the impact of </w:t>
      </w:r>
      <w:r>
        <w:lastRenderedPageBreak/>
        <w:t>sociopolitical differences on health because they are sensitive to changes in the mother’s environment and stress levels (Torche and Rauf 2021a). I will follow in this tradition.</w:t>
      </w:r>
    </w:p>
    <w:p w14:paraId="1207842C" w14:textId="77777777" w:rsidR="009473B3" w:rsidRDefault="00000000">
      <w:pPr>
        <w:pStyle w:val="Heading2"/>
      </w:pPr>
      <w:bookmarkStart w:id="3" w:name="hypotheses"/>
      <w:bookmarkEnd w:id="2"/>
      <w:r>
        <w:t>Hypotheses</w:t>
      </w:r>
    </w:p>
    <w:p w14:paraId="45665471" w14:textId="77777777" w:rsidR="009473B3" w:rsidRDefault="00000000">
      <w:r>
        <w:t>Hypothesis 1: States with more voting rights will have better infant health overall.</w:t>
      </w:r>
    </w:p>
    <w:p w14:paraId="01C23F55" w14:textId="77777777" w:rsidR="009473B3" w:rsidRDefault="00000000">
      <w:r>
        <w:t xml:space="preserve">Hypothesis 2: Infants born to Black mothers in states with </w:t>
      </w:r>
      <w:r>
        <w:rPr>
          <w:i/>
          <w:iCs/>
        </w:rPr>
        <w:t>more</w:t>
      </w:r>
      <w:r>
        <w:t xml:space="preserve"> voting rights will enjoy </w:t>
      </w:r>
      <w:r>
        <w:rPr>
          <w:i/>
          <w:iCs/>
        </w:rPr>
        <w:t>better</w:t>
      </w:r>
      <w:r>
        <w:t xml:space="preserve"> infant health than infants born to Black mothers in states with </w:t>
      </w:r>
      <w:r>
        <w:rPr>
          <w:i/>
          <w:iCs/>
        </w:rPr>
        <w:t>less</w:t>
      </w:r>
      <w:r>
        <w:t xml:space="preserve"> voting rights.</w:t>
      </w:r>
    </w:p>
    <w:p w14:paraId="14044FE9" w14:textId="77777777" w:rsidR="009473B3" w:rsidRDefault="00000000">
      <w:r>
        <w:t xml:space="preserve">Hypothesis 3: Infants born to less-educated mothers in states with </w:t>
      </w:r>
      <w:r>
        <w:rPr>
          <w:i/>
          <w:iCs/>
        </w:rPr>
        <w:t>more</w:t>
      </w:r>
      <w:r>
        <w:t xml:space="preserve"> voting rights will enjoy </w:t>
      </w:r>
      <w:r>
        <w:rPr>
          <w:i/>
          <w:iCs/>
        </w:rPr>
        <w:t>better</w:t>
      </w:r>
      <w:r>
        <w:t xml:space="preserve"> infant health than infants born to less-educated mothers in states with </w:t>
      </w:r>
      <w:r>
        <w:rPr>
          <w:i/>
          <w:iCs/>
        </w:rPr>
        <w:t>less</w:t>
      </w:r>
      <w:r>
        <w:t xml:space="preserve"> voting rights.</w:t>
      </w:r>
    </w:p>
    <w:p w14:paraId="047A61B0" w14:textId="77777777" w:rsidR="009473B3" w:rsidRDefault="00000000">
      <w:r>
        <w:t>Hypothesis 4: The Black-white gap in infant health will narrow in states with more voting rights.</w:t>
      </w:r>
    </w:p>
    <w:p w14:paraId="66023E5B" w14:textId="77777777" w:rsidR="009473B3" w:rsidRDefault="00000000">
      <w:r>
        <w:t>Hypothesis 5: The education gap in infant health will narrow in states with more voting rights.</w:t>
      </w:r>
    </w:p>
    <w:p w14:paraId="7F1F0358" w14:textId="77777777" w:rsidR="009473B3" w:rsidRDefault="00000000">
      <w:pPr>
        <w:pStyle w:val="Heading2"/>
      </w:pPr>
      <w:bookmarkStart w:id="4" w:name="significance-of-the-proposed-research"/>
      <w:bookmarkEnd w:id="3"/>
      <w:r>
        <w:t>Significance of the Proposed Research</w:t>
      </w:r>
    </w:p>
    <w:p w14:paraId="63D04273" w14:textId="77777777" w:rsidR="009473B3" w:rsidRDefault="00000000">
      <w:r>
        <w:t>There is a dearth of sociological research on gerrymandering, especially research that considers it as a part of a larger sociopolitical structure aimed at systematically depriving certain groups of the resources they need to survive. This paper remedies that by including gerrymandering in the context of voting rights. Second, while there have been important theoretical developments recently in the consideration of voting rights as a fundamental cause of health disparities, little research exists as of yet that supports this causal argument empirically. This paper will contribute to the validation of an important theoretical framework.</w:t>
      </w:r>
    </w:p>
    <w:p w14:paraId="47921CCE" w14:textId="77777777" w:rsidR="009473B3" w:rsidRDefault="00000000">
      <w:pPr>
        <w:pStyle w:val="Heading2"/>
      </w:pPr>
      <w:bookmarkStart w:id="5" w:name="data"/>
      <w:bookmarkEnd w:id="4"/>
      <w:r>
        <w:t>Data</w:t>
      </w:r>
    </w:p>
    <w:p w14:paraId="4B67DB4F" w14:textId="77777777" w:rsidR="009473B3" w:rsidRDefault="00000000">
      <w:r>
        <w:t>My predictor is a measure of voting fairness in each state, and will include the following data:</w:t>
      </w:r>
    </w:p>
    <w:p w14:paraId="6A5542AF" w14:textId="77777777" w:rsidR="009473B3" w:rsidRDefault="00000000">
      <w:pPr>
        <w:numPr>
          <w:ilvl w:val="0"/>
          <w:numId w:val="6"/>
        </w:numPr>
      </w:pPr>
      <w:r>
        <w:t xml:space="preserve">Gerrymandering, reverse-coded so that </w:t>
      </w:r>
      <w:r>
        <w:rPr>
          <w:i/>
          <w:iCs/>
        </w:rPr>
        <w:t>less</w:t>
      </w:r>
      <w:r>
        <w:t xml:space="preserve"> gerrymandering is better. This data will come from PlanScore, a nonprofit which collects and scores state and federal district maps.</w:t>
      </w:r>
    </w:p>
    <w:p w14:paraId="63EC1D5F" w14:textId="77777777" w:rsidR="009473B3" w:rsidRDefault="00000000">
      <w:pPr>
        <w:numPr>
          <w:ilvl w:val="0"/>
          <w:numId w:val="6"/>
        </w:numPr>
      </w:pPr>
      <w:r>
        <w:t>The Cost-of-Voting Index (COVI). This measure, pioneered by Li, Pomante, and Schraufnagel (2018), was constructed via principal components analysis of a variety of issue areas, including voter registration restrictions, registration drive restrictions, minor preregistration restrictions, automatic voter registration, voting inconveniences, voter ID laws, polling hours, early voting, and absentee voting restrictions (Schraufnagel, Pomante, and Li 2022). The data from this will come from a publicly-available repository of COVI scores at costofvotingindex.com, which contains data from 1996-2022.</w:t>
      </w:r>
    </w:p>
    <w:p w14:paraId="742FB1A1" w14:textId="77777777" w:rsidR="009473B3" w:rsidRDefault="00000000">
      <w:r>
        <w:t>My outcome variable is infant health, and will be measured in one of two ways:</w:t>
      </w:r>
    </w:p>
    <w:p w14:paraId="64BE71CF" w14:textId="77777777" w:rsidR="009473B3" w:rsidRDefault="00000000">
      <w:pPr>
        <w:numPr>
          <w:ilvl w:val="0"/>
          <w:numId w:val="7"/>
        </w:numPr>
      </w:pPr>
      <w:r>
        <w:t>Ideally, I will be able to get access to the natality files from the U.S. Vital Statistics, which will give me individual-level, by-birth data on low birth weight and preterm birth. This data is restricted, and requires an application process. I will also need to seek guidance on managing large datasets.</w:t>
      </w:r>
    </w:p>
    <w:p w14:paraId="792109DB" w14:textId="77777777" w:rsidR="009473B3" w:rsidRDefault="00000000">
      <w:pPr>
        <w:numPr>
          <w:ilvl w:val="0"/>
          <w:numId w:val="7"/>
        </w:numPr>
      </w:pPr>
      <w:r>
        <w:t xml:space="preserve">As a backup plan, I will use the publicly-available data on infant mortality rates by state, race, and year available via the CDC WONDER database. This would not be ideal, as it would reduce the power of my study to detect differences, since it would essentially </w:t>
      </w:r>
      <w:r>
        <w:lastRenderedPageBreak/>
        <w:t>require ecological analysis. However, the core contributions of the study would remain the same.</w:t>
      </w:r>
    </w:p>
    <w:p w14:paraId="038419D6" w14:textId="77777777" w:rsidR="009473B3" w:rsidRDefault="00000000">
      <w:r>
        <w:t>I will include the following covariates to attempt to disentangle voting rights effects from party effects:</w:t>
      </w:r>
    </w:p>
    <w:p w14:paraId="7DDFE335" w14:textId="77777777" w:rsidR="009473B3" w:rsidRDefault="00000000">
      <w:pPr>
        <w:numPr>
          <w:ilvl w:val="0"/>
          <w:numId w:val="8"/>
        </w:numPr>
      </w:pPr>
      <w:r>
        <w:t>The proportion of voters in the most recent election who voted Republican; this data will come from PlanScore.</w:t>
      </w:r>
    </w:p>
    <w:p w14:paraId="111C5880" w14:textId="77777777" w:rsidR="009473B3" w:rsidRDefault="00000000">
      <w:pPr>
        <w:numPr>
          <w:ilvl w:val="0"/>
          <w:numId w:val="8"/>
        </w:numPr>
      </w:pPr>
      <w:r>
        <w:t>The proportion of state legislators who are Republican; this data will come from the National Conference of State Legislators.</w:t>
      </w:r>
    </w:p>
    <w:p w14:paraId="077BDDBA" w14:textId="77777777" w:rsidR="009473B3" w:rsidRDefault="00000000">
      <w:pPr>
        <w:pStyle w:val="Heading2"/>
      </w:pPr>
      <w:bookmarkStart w:id="6" w:name="methods"/>
      <w:bookmarkEnd w:id="5"/>
      <w:r>
        <w:t>Methods</w:t>
      </w:r>
    </w:p>
    <w:p w14:paraId="35F5D707" w14:textId="77777777" w:rsidR="009473B3" w:rsidRDefault="00000000">
      <w:r>
        <w:t>There are a few methods that would be well-suited to answer this research question. Which I use (and I will perhaps use both) will depend on the outcome data I am able to obtain for the project.</w:t>
      </w:r>
    </w:p>
    <w:p w14:paraId="3346F2B2" w14:textId="77777777" w:rsidR="009473B3" w:rsidRDefault="00000000">
      <w:r>
        <w:t>One is mixed effects modeling. This will be a possibility if I am able to obtain data from the U.S. natality files, as I will be able to treat each observation as an individual birth (Level 1) nested in a state (Level 2). One advantage of this approach is it would allow me to explicitly model cross-level interactions between mother’s race and state voting environment.</w:t>
      </w:r>
    </w:p>
    <w:p w14:paraId="43D9779F" w14:textId="77777777" w:rsidR="009473B3" w:rsidRDefault="00000000">
      <w:r>
        <w:t>Another is fixed effects modeling. This will be a possibility regardless of the outcome data I am able to obtain. One advantage of this approach is that it provides estimates that are closer to the “real” causal effect of voting rights on health, since it in theory discards all unobserved differences between states.</w:t>
      </w:r>
    </w:p>
    <w:p w14:paraId="08CEEA41" w14:textId="77777777" w:rsidR="009473B3" w:rsidRDefault="00000000">
      <w:r>
        <w:t>A possible extension of this paper would be to look at other outcomes besides infant health; the most obvious possibility is self-rated health.</w:t>
      </w:r>
    </w:p>
    <w:p w14:paraId="04FD6AC7" w14:textId="77777777" w:rsidR="009473B3" w:rsidRDefault="00000000">
      <w:r>
        <w:br w:type="page"/>
      </w:r>
    </w:p>
    <w:p w14:paraId="08F5F963" w14:textId="77777777" w:rsidR="009473B3" w:rsidRDefault="00000000">
      <w:pPr>
        <w:pStyle w:val="Heading1"/>
      </w:pPr>
      <w:bookmarkStart w:id="7" w:name="Xb084fae132b036f0c269b9a418c526849e0b26c"/>
      <w:bookmarkEnd w:id="1"/>
      <w:bookmarkEnd w:id="6"/>
      <w:r>
        <w:lastRenderedPageBreak/>
        <w:t>Paper 2: Anti-Trans Legislation and Mental Health: Spillover Effects</w:t>
      </w:r>
    </w:p>
    <w:p w14:paraId="5F6CFB11" w14:textId="77777777" w:rsidR="009473B3" w:rsidRDefault="00000000">
      <w:pPr>
        <w:pStyle w:val="Heading2"/>
      </w:pPr>
      <w:bookmarkStart w:id="8" w:name="background-1"/>
      <w:r>
        <w:t>Background</w:t>
      </w:r>
    </w:p>
    <w:p w14:paraId="72E8AC8A" w14:textId="77777777" w:rsidR="009473B3" w:rsidRDefault="00000000">
      <w:r>
        <w:t>The past three years have seen a wave of anti-trans legislation proposed and enacted across the United States, from bathroom bills to sports bans to restrictions on gender-affirming therapies. Lawmakers in 37 states introduced over 140 bills during the 2023 legislative session that were intended to restrict or ban gender-affirming care for transgender individuals in their state (Funakoshi and Raychaudhuri 2023). The impact of gender-affirming care bans on health seems straightforward, but even those laws that do not directly impact health or health care could result in increased health problems for this population (Barbee, Deal, and Gonzales 2022). Evidence from a study conducted in Massachusetts during and after public debate about a bathroom bill suggests that even the introduction of anti-trans bills, whether or not they are passed by the legislature or enacted into law, can result in higher levels of anxiety and depression among LGBTQ+ people (Horne et al. 2022). In addition, knowledge of anti-trans legislative efforts increased feelings of hopelessness in a sample of transgender and gender diverse adults, and exacerbated the deleterious effects of experiences of discrimination on feelings of hopelessness and belonging (Tebbe et al. 2022). The urgency of this topic cannot be overstated. In 2022, over 50% of transgender and gender non-conforming youths reported seriously considering suicide in the preceding year (Levin 2022). 2023 brought three times the bills aimed at restricting or banning gender-affirming care as the previous year (Funakoshi and Raychaudhuri 2023). Even “impossible laws” - laws that are proposed which cannot or will not be passed in the current political climate - expand the boundaries of acceptable discourse (Korteweg 2013). Therefore, even proposing extreme anti-trans laws can hurt trans and nonbinary people, both today and in the future, by making more and more extreme anti-trans stances an acceptable part of the political discourse.</w:t>
      </w:r>
    </w:p>
    <w:p w14:paraId="63302384" w14:textId="77777777" w:rsidR="009473B3" w:rsidRDefault="00000000">
      <w:r>
        <w:t xml:space="preserve">The present paper aims to unite two separate threads of sociological research to better understand the current situation. The first is the literature on </w:t>
      </w:r>
      <w:r>
        <w:rPr>
          <w:i/>
          <w:iCs/>
        </w:rPr>
        <w:t>structural stigma and oppression</w:t>
      </w:r>
      <w:r>
        <w:t xml:space="preserve">. Structural stigma is a broad net that captures societal-level differences in “conditions, cultural norms, and institutional policies that constrain the opportunities, resources, and well-being of the stigmatized” (Hatzenbuehler 2016:742). Contemporary anti-trans legislation would fall neatly within this definition. The framework proposed by Hatzenbuehler and colleagues contends that structural stigma results in worse health outcomes for the stigmatized group by impacting individual-level psychological processes and impairing the efficacy of psychological interventions (2014, 2016). Therefore, following this framework, we may expect that anti-trans legislation will impact the psychology of trans individuals in states where it is passed. However, the way in which trans people fit into this literature is, as of yet, unclear. Much of the structural stigma literature focuses specifically on lesbian, gay, bisexual, and queer (hereafter LGBQ) populations, and </w:t>
      </w:r>
      <w:r>
        <w:rPr>
          <w:i/>
          <w:iCs/>
        </w:rPr>
        <w:t>not</w:t>
      </w:r>
      <w:r>
        <w:t xml:space="preserve"> on trans populations. Should the two be considered together, and if so, how? Some have advanced the concept of </w:t>
      </w:r>
      <w:r>
        <w:rPr>
          <w:i/>
          <w:iCs/>
        </w:rPr>
        <w:t>structural cisheterosexism</w:t>
      </w:r>
      <w:r>
        <w:t>, which combines structural heterosexism with structural cisgenderism, capturing anti-trans and anti-LGBQ structures together Tran et al. (2023). Others continue to consider the two separately; combining the two concepts dilutes them both, they argue, since it captures two distinct latent constructs which have different impacts on trans and LGBQ populations (Zubizarreta, Trinh, and Reisner 2024).</w:t>
      </w:r>
    </w:p>
    <w:p w14:paraId="48CF62AF" w14:textId="77777777" w:rsidR="009473B3" w:rsidRDefault="00000000">
      <w:r>
        <w:lastRenderedPageBreak/>
        <w:t xml:space="preserve">To help referee between these two treatments of trans individuals in the structural stigma framework, I believe it is useful to look to parallel work in the sociology of race on </w:t>
      </w:r>
      <w:r>
        <w:rPr>
          <w:i/>
          <w:iCs/>
        </w:rPr>
        <w:t>racialized legal status</w:t>
      </w:r>
      <w:r>
        <w:t xml:space="preserve">. Racialized legal status impacts the health of minority populations not only through the pathway of those with a discredited legal status, but also other racial/ethnic in-group members, </w:t>
      </w:r>
      <w:r>
        <w:rPr>
          <w:i/>
          <w:iCs/>
        </w:rPr>
        <w:t>regardless of legal status</w:t>
      </w:r>
      <w:r>
        <w:t xml:space="preserve"> (Asad and Clair 2018). The stigmatized individual themselves is exposed to stress, but their family and friends are </w:t>
      </w:r>
      <w:r>
        <w:rPr>
          <w:i/>
          <w:iCs/>
        </w:rPr>
        <w:t>also</w:t>
      </w:r>
      <w:r>
        <w:t xml:space="preserve"> exposed; eventually, if enough “group members come to hold a stigmatized status, this may shape a group’s overall health profile and contribute to disparities” (Asad and Clair 2018:25). An example of this in action is the sharpening of intergroup boundaries in places with high levels of Mexican immigration; </w:t>
      </w:r>
      <w:r>
        <w:rPr>
          <w:i/>
          <w:iCs/>
        </w:rPr>
        <w:t>all</w:t>
      </w:r>
      <w:r>
        <w:t xml:space="preserve"> members of the Mexican ethnic group in these places are targets of nativism, regardless of their personal nativity or legal status (Jiménez 2008). This is termed the “spillover pathway,” and I believe it can be applied to anti-trans legislation as well. Policies restricting the activities, opportunities, and well-being of trans individuals create, if you will, a “transgender legal status.” This primarily exposes trans individuals to stress, but it may also expose fellow group members (e.g. cisgender LGBQ people) to increased stress. Networks within the LGBTQ+ community are particularly strong; non-biological and non-legal relatives are often included when a member of the LGBTQ+ community is asked to enumerate their family members (Hull and Ortyl 2019). These stronger ties may make them more susceptible to negative impacts if one of their “chosen family” is impacted by anti-trans legislation - even if they are not trans or nonbinary themselves. In addition, cisgender LGBQ individuals who do </w:t>
      </w:r>
      <w:r>
        <w:rPr>
          <w:i/>
          <w:iCs/>
        </w:rPr>
        <w:t>not</w:t>
      </w:r>
      <w:r>
        <w:t xml:space="preserve"> see themselves as trans may nevertheless be targets for transphobia, due to being lumped together by out-groups (see the experiences of cisgender drag queens banned from performing and butch lesbians being yelled at in women’s bathrooms).</w:t>
      </w:r>
    </w:p>
    <w:p w14:paraId="5709A459" w14:textId="77777777" w:rsidR="009473B3" w:rsidRDefault="00000000">
      <w:r>
        <w:t xml:space="preserve">Taking both of these literatures together, we should expect to see a negative effect on psychological health of anti-trans bills </w:t>
      </w:r>
      <w:r>
        <w:rPr>
          <w:i/>
          <w:iCs/>
        </w:rPr>
        <w:t>both</w:t>
      </w:r>
      <w:r>
        <w:t xml:space="preserve"> for trans individuals </w:t>
      </w:r>
      <w:r>
        <w:rPr>
          <w:i/>
          <w:iCs/>
        </w:rPr>
        <w:t>and</w:t>
      </w:r>
      <w:r>
        <w:t xml:space="preserve"> for cisgender LGBQ individuals.</w:t>
      </w:r>
    </w:p>
    <w:p w14:paraId="27F2BCD4" w14:textId="77777777" w:rsidR="009473B3" w:rsidRDefault="00000000">
      <w:pPr>
        <w:pStyle w:val="Heading2"/>
      </w:pPr>
      <w:bookmarkStart w:id="9" w:name="hypotheses-1"/>
      <w:bookmarkEnd w:id="8"/>
      <w:r>
        <w:t>Hypotheses</w:t>
      </w:r>
    </w:p>
    <w:p w14:paraId="2642EA55" w14:textId="77777777" w:rsidR="009473B3" w:rsidRDefault="00000000">
      <w:r>
        <w:t xml:space="preserve">Hypothesis 1a: The passage of anti-trans legislation will increase symptoms of anxiety and depression in </w:t>
      </w:r>
      <w:r>
        <w:rPr>
          <w:i/>
          <w:iCs/>
        </w:rPr>
        <w:t>transgender</w:t>
      </w:r>
      <w:r>
        <w:t xml:space="preserve"> people living in that state, as compared to cisgender, heterosexual residents of the same state.</w:t>
      </w:r>
    </w:p>
    <w:p w14:paraId="70248622" w14:textId="77777777" w:rsidR="009473B3" w:rsidRDefault="00000000">
      <w:r>
        <w:t xml:space="preserve">Hypothesis 1b: The passage of anti-trans legislation will increase symptoms of anxiety and depression in </w:t>
      </w:r>
      <w:r>
        <w:rPr>
          <w:i/>
          <w:iCs/>
        </w:rPr>
        <w:t>transgender</w:t>
      </w:r>
      <w:r>
        <w:t xml:space="preserve"> people living in that state, as compared to transgender residents of states without anti-trans legislation.</w:t>
      </w:r>
    </w:p>
    <w:p w14:paraId="443ABC97" w14:textId="77777777" w:rsidR="009473B3" w:rsidRDefault="00000000">
      <w:r>
        <w:t xml:space="preserve">Hypothesis 2a: The passage of anti-trans legislation will increase symptoms of anxiety and depression in </w:t>
      </w:r>
      <w:r>
        <w:rPr>
          <w:i/>
          <w:iCs/>
        </w:rPr>
        <w:t>cisgender</w:t>
      </w:r>
      <w:r>
        <w:t xml:space="preserve"> members of the LGBTQ+ community living in that state, as compared to cisgender, heterosexual residents of the same state.</w:t>
      </w:r>
    </w:p>
    <w:p w14:paraId="1C61B876" w14:textId="77777777" w:rsidR="009473B3" w:rsidRDefault="00000000">
      <w:r>
        <w:t xml:space="preserve">Hypothesis 2b: The passage of anti-trans legislation will increase symptoms of anxiety and depression in </w:t>
      </w:r>
      <w:r>
        <w:rPr>
          <w:i/>
          <w:iCs/>
        </w:rPr>
        <w:t>cisgender</w:t>
      </w:r>
      <w:r>
        <w:t xml:space="preserve"> members of the LGBTQ+ community living in that state, as compared to cisgender members of the LGBTQ+ community living in states without anti-trans legislation.</w:t>
      </w:r>
    </w:p>
    <w:p w14:paraId="6BEE44E8" w14:textId="77777777" w:rsidR="009473B3" w:rsidRDefault="00000000">
      <w:r>
        <w:t xml:space="preserve">Hypothesis 3a: The passage of anti-trans legislation will increase symptoms of anxiety and depression in </w:t>
      </w:r>
      <w:r>
        <w:rPr>
          <w:i/>
          <w:iCs/>
        </w:rPr>
        <w:t>nonbinary</w:t>
      </w:r>
      <w:r>
        <w:t xml:space="preserve"> people living in that state, as compared to cisgender, heterosexual residents of the same state.</w:t>
      </w:r>
    </w:p>
    <w:p w14:paraId="2ED66168" w14:textId="77777777" w:rsidR="009473B3" w:rsidRDefault="00000000">
      <w:r>
        <w:lastRenderedPageBreak/>
        <w:t xml:space="preserve">Hypothesis 3b: The passage of anti-trans legislation will increase symptoms of anxiety and depression in </w:t>
      </w:r>
      <w:r>
        <w:rPr>
          <w:i/>
          <w:iCs/>
        </w:rPr>
        <w:t>nonbinary</w:t>
      </w:r>
      <w:r>
        <w:t xml:space="preserve"> people living in that state, as compared to nonbinary residents of states without anti-trans legislation.</w:t>
      </w:r>
    </w:p>
    <w:p w14:paraId="7163A6A0" w14:textId="77777777" w:rsidR="009473B3" w:rsidRDefault="00000000">
      <w:pPr>
        <w:pStyle w:val="Heading2"/>
      </w:pPr>
      <w:bookmarkStart w:id="10" w:name="significance-of-the-proposed-research-1"/>
      <w:bookmarkEnd w:id="9"/>
      <w:r>
        <w:t>Significance of the Proposed Research</w:t>
      </w:r>
    </w:p>
    <w:p w14:paraId="16FC2BC8" w14:textId="77777777" w:rsidR="009473B3" w:rsidRDefault="00000000">
      <w:r>
        <w:t>This research brings two threads of sociological research that have had limited interaction with each other together to better understand the social changes we are experiencing in the world today. On a broader level, this research is important because it may be used to better understand the collateral consequences of anti-trans legislation.</w:t>
      </w:r>
    </w:p>
    <w:p w14:paraId="63286175" w14:textId="77777777" w:rsidR="009473B3" w:rsidRDefault="00000000">
      <w:pPr>
        <w:pStyle w:val="Heading2"/>
      </w:pPr>
      <w:bookmarkStart w:id="11" w:name="data-1"/>
      <w:bookmarkEnd w:id="10"/>
      <w:r>
        <w:t>Data</w:t>
      </w:r>
    </w:p>
    <w:p w14:paraId="1F2FC27D" w14:textId="77777777" w:rsidR="009473B3" w:rsidRDefault="00000000">
      <w:r>
        <w:t>The independent variable of interest is the introduction and passage of anti-trans laws; this data will come from Trans Legislation Tracker, a project which has documented bills that impact trans lives since 2021.</w:t>
      </w:r>
    </w:p>
    <w:p w14:paraId="0644E7FE" w14:textId="77777777" w:rsidR="009473B3" w:rsidRDefault="00000000">
      <w:r>
        <w:t xml:space="preserve">The dependent variable of interest is mental health. I will be using data from the Census’s Household Pulse Survey to assess this variable; the twice-monthly survey asked four questions related to mental health. All referenced the </w:t>
      </w:r>
      <w:r>
        <w:rPr>
          <w:i/>
          <w:iCs/>
        </w:rPr>
        <w:t>past two weeks</w:t>
      </w:r>
      <w:r>
        <w:t xml:space="preserve"> and asking respondents to choose how often (not at all, several days, more than half the days, or nearly every day) they were bothered by (1) feeling nervous, anxious, or on edge; (2) not being able to stop or control worrying; (3) having little interest or pleasure in doing things; and (4) feeling down, depressed, or hopeless. Each wave contains approximately 60,000 observations; the HPS began collecting data on sexual orientation and gender identity in Phase 3.2, which started on July 21st, 2021.</w:t>
      </w:r>
    </w:p>
    <w:p w14:paraId="1C849FB1" w14:textId="77777777" w:rsidR="009473B3" w:rsidRDefault="00000000">
      <w:pPr>
        <w:pStyle w:val="Heading2"/>
      </w:pPr>
      <w:bookmarkStart w:id="12" w:name="methods-1"/>
      <w:bookmarkEnd w:id="11"/>
      <w:r>
        <w:t>Methods</w:t>
      </w:r>
    </w:p>
    <w:p w14:paraId="26EF076B" w14:textId="77777777" w:rsidR="009473B3" w:rsidRDefault="00000000">
      <w:r>
        <w:t>I plan to use a difference-in-differences method to investigate how trans legislation impacts mental health; I will run analyses separately for trans, nonbinary, and LGBQ respondents.</w:t>
      </w:r>
    </w:p>
    <w:p w14:paraId="3AFC5D9A" w14:textId="77777777" w:rsidR="009473B3" w:rsidRDefault="00000000">
      <w:r>
        <w:t xml:space="preserve">Assuming the treatment group is trans/nonbinary/LGBQ respondents in states that enact anti-trans legislation, there are two possible reference groups - the first is trans/nonbinary/LGBQ respondents in states that did </w:t>
      </w:r>
      <w:r>
        <w:rPr>
          <w:i/>
          <w:iCs/>
        </w:rPr>
        <w:t>not</w:t>
      </w:r>
      <w:r>
        <w:t xml:space="preserve"> enact anti-trans legislation, and the second is non-LGBTQ respondents in states that </w:t>
      </w:r>
      <w:r>
        <w:rPr>
          <w:i/>
          <w:iCs/>
        </w:rPr>
        <w:t>did</w:t>
      </w:r>
      <w:r>
        <w:t>. Both reference groups are intellectually interesting, and I am inclined to report results for both; finding significant results using both reference groups would help convince readers that the effect is isolated to stigmatized groups, which would help with a causal argument (Hatzenbuehler 2016).</w:t>
      </w:r>
    </w:p>
    <w:p w14:paraId="7E9FAC97" w14:textId="77777777" w:rsidR="009473B3" w:rsidRDefault="00000000">
      <w:pPr>
        <w:pStyle w:val="Heading2"/>
      </w:pPr>
      <w:bookmarkStart w:id="13" w:name="expected-results"/>
      <w:bookmarkEnd w:id="12"/>
      <w:r>
        <w:t>Expected Results</w:t>
      </w:r>
    </w:p>
    <w:p w14:paraId="4EAD2047" w14:textId="77777777" w:rsidR="009473B3" w:rsidRDefault="00000000">
      <w:r>
        <w:t>There are a few potential pitfalls with this project, mainly related to case counts for transgender and nonbinary individuals. It could be possible that the sample sizes of trans and nonbinary individuals are too small to do a wave-by-wave difference-in-differences analysis; to counteract this, I can combine data from multiple waves and collapse them into monthly (instead of biweekly) measurements, or even further if needed. This would not be ideal, as I would lose some interesting information about the timing of the effect, but it would allow the analyses to proceed more or less as planned.</w:t>
      </w:r>
    </w:p>
    <w:p w14:paraId="62BC348F" w14:textId="77777777" w:rsidR="009473B3" w:rsidRDefault="00000000">
      <w:r>
        <w:lastRenderedPageBreak/>
        <w:t>It is likely that I will not be able to consider nonbinary people separately from binary trans people, because of the aforementioned issue with case counts. Even if this is the case, I can produce descriptive visualizations that highlight the differences therein.</w:t>
      </w:r>
    </w:p>
    <w:p w14:paraId="693939F3" w14:textId="77777777" w:rsidR="009473B3" w:rsidRDefault="00000000">
      <w:r>
        <w:t>It also may be the case that, with or without collapsing the time categories, I lack the power to detect differences in the trans and nonbinary populations. It seems reasonable, for example, to expect something of a floor effect - trans individuals are already more depressed and anxious than their non-trans counterparts, so how much worse can it really get? The more innovative piece of the analysis plan with regard to theory development, though, deals with non-trans LGBQ folks, of which I am certain I will have enough observations to do some interesting analyses.</w:t>
      </w:r>
    </w:p>
    <w:p w14:paraId="5370FD9C" w14:textId="77777777" w:rsidR="009473B3" w:rsidRDefault="00000000">
      <w:r>
        <w:br w:type="page"/>
      </w:r>
    </w:p>
    <w:p w14:paraId="30BE3DD0" w14:textId="77777777" w:rsidR="009473B3" w:rsidRDefault="00000000">
      <w:pPr>
        <w:pStyle w:val="Heading1"/>
      </w:pPr>
      <w:bookmarkStart w:id="14" w:name="X071b67dd93ed5d25adc0229834e8ca7c7da24a9"/>
      <w:bookmarkEnd w:id="7"/>
      <w:bookmarkEnd w:id="13"/>
      <w:r>
        <w:lastRenderedPageBreak/>
        <w:t>Paper 3: Abortion Protections and Womens’ Mental Health</w:t>
      </w:r>
    </w:p>
    <w:p w14:paraId="0D561CDF" w14:textId="77777777" w:rsidR="009473B3" w:rsidRDefault="00000000">
      <w:pPr>
        <w:pStyle w:val="Heading2"/>
      </w:pPr>
      <w:bookmarkStart w:id="15" w:name="background-2"/>
      <w:r>
        <w:t>Background</w:t>
      </w:r>
    </w:p>
    <w:p w14:paraId="3B9E555A" w14:textId="77777777" w:rsidR="009473B3" w:rsidRDefault="00000000">
      <w:r>
        <w:t xml:space="preserve">The Supreme Court’s ruling in </w:t>
      </w:r>
      <w:r>
        <w:rPr>
          <w:i/>
          <w:iCs/>
        </w:rPr>
        <w:t>Dobbs v. Jackson</w:t>
      </w:r>
      <w:r>
        <w:t xml:space="preserve"> in June of 2022 overturned key elements of a previous case, </w:t>
      </w:r>
      <w:r>
        <w:rPr>
          <w:i/>
          <w:iCs/>
        </w:rPr>
        <w:t>Roe v. Wade</w:t>
      </w:r>
      <w:r>
        <w:t>, which protected a woman’s right to an abortion. Nine states had “trigger laws” in place in anticipation of the ruling, which rendered abortion immediately illegal in most or all cases; by a year post-</w:t>
      </w:r>
      <w:r>
        <w:rPr>
          <w:i/>
          <w:iCs/>
        </w:rPr>
        <w:t>Dobbs</w:t>
      </w:r>
      <w:r>
        <w:t>, thirteen states had banned abortion completely, with several others imposing extreme limitations on how and when women could seek abortions (Baden and Driver 2023). However, a countervailing trend also emerged, with Vermont, Massachusetts, Ohio, Michigan, Minnesota, and California putting in place new abortion protections post-</w:t>
      </w:r>
      <w:r>
        <w:rPr>
          <w:i/>
          <w:iCs/>
        </w:rPr>
        <w:t>Dobbs</w:t>
      </w:r>
      <w:r>
        <w:t>; some states passed constitutional amendments, while others implemented new statutory protections (Anon 2024).</w:t>
      </w:r>
    </w:p>
    <w:p w14:paraId="443D3C54" w14:textId="77777777" w:rsidR="009473B3" w:rsidRDefault="00000000">
      <w:r>
        <w:t xml:space="preserve">Restrictions on abortion have been shown to harm women’s mental health, with anti-abortion laws linked to higher suicide rates among women and higher rates of symptoms of anxiety and depression (Thornburg et al. 2024; Zandberg et al. 2023). Sociologically, this finding makes sense: we know that decreases in autonomy and control are bad for health across populations (Marmot 2004, 2015); this means that being in an environment which puts restrictions on women’s bodies could affect women regardless of whether or not they personally are in need of an abortion. In addition, decreasing legal methods of abortion drives women to more unsafe methods, which may hold negative consequences for their physical and mental health (Clarke and Mühlrad 2021). Finally, enacting abortion restrictions, by design, adds to burden and hardship on women seeking abortion, which has predictably deleterious effects on mental health (Austin and Harper 2018). In addition to the negative effects on mental health, abortion bans have a reciprocal effect on mental health </w:t>
      </w:r>
      <w:r>
        <w:rPr>
          <w:i/>
          <w:iCs/>
        </w:rPr>
        <w:t>access</w:t>
      </w:r>
      <w:r>
        <w:t>, decreasing the supply of available women’s mental health care. Many Planned Parenthood centers and other abortion providers offer mental health care services in addition to reproductive health care. Dozens of Planned Parenthood clinics closed post-</w:t>
      </w:r>
      <w:r>
        <w:rPr>
          <w:i/>
          <w:iCs/>
        </w:rPr>
        <w:t>Dobbs</w:t>
      </w:r>
      <w:r>
        <w:t>, and even clinics in non-trigger ban states were affected, seeing a disproportionate rise in disruption and violence (McCann and Walker 2023; NAF 2023). Losing access to a Planned Parenthood means losing access to a variety of services, not just abortion, and health centers are simply not equipped to handle the surge in need for services that accompanies defunding or closing Planned Parenthood sites (Rosenbaum 2017).</w:t>
      </w:r>
    </w:p>
    <w:p w14:paraId="7C404C29" w14:textId="77777777" w:rsidR="009473B3" w:rsidRDefault="00000000">
      <w:r>
        <w:t>Given the documented negative effects on mental health of abortion restrictions, it is perhaps surprising that little research to date has addressed the inverse process: does enacting protections to abortion improve women’s mental health? The recent changes in abortion protections in several states provides a unique opportunity to answer this question.</w:t>
      </w:r>
    </w:p>
    <w:p w14:paraId="49B6C571" w14:textId="77777777" w:rsidR="009473B3" w:rsidRDefault="00000000">
      <w:r>
        <w:t xml:space="preserve">The current situation also provides an opportunity to study the impact of abortion access on </w:t>
      </w:r>
      <w:r>
        <w:rPr>
          <w:i/>
          <w:iCs/>
        </w:rPr>
        <w:t>men’s</w:t>
      </w:r>
      <w:r>
        <w:t xml:space="preserve"> mental health. Very little research has been published in this area, and what little research there is primarily focuses on the negative impact that a man’s partner receiving an abortion may or may not have on his mental health (Nagy and Rigó 2021). However, it may be the case that improving access to abortion </w:t>
      </w:r>
      <w:r>
        <w:rPr>
          <w:i/>
          <w:iCs/>
        </w:rPr>
        <w:t>improves</w:t>
      </w:r>
      <w:r>
        <w:t xml:space="preserve"> men’s mental health - fatherhood, after all, carries with it a decline in self-rated health and an increase in stress, and so the freedom for their partners to avoid unexpected pregnancies may be beneficial to men’s mental health (Nomaguchi and Milkie 2017; Torche and Rauf 2021b).</w:t>
      </w:r>
    </w:p>
    <w:p w14:paraId="03C16655" w14:textId="77777777" w:rsidR="009473B3" w:rsidRDefault="00000000">
      <w:pPr>
        <w:pStyle w:val="Heading2"/>
      </w:pPr>
      <w:bookmarkStart w:id="16" w:name="hypothesis"/>
      <w:bookmarkEnd w:id="15"/>
      <w:r>
        <w:lastRenderedPageBreak/>
        <w:t>Hypothesis</w:t>
      </w:r>
    </w:p>
    <w:p w14:paraId="2D7F7C09" w14:textId="77777777" w:rsidR="009473B3" w:rsidRDefault="00000000">
      <w:r>
        <w:t>Hypothesis 1: Women in states that enacted new abortion protections will experience a reduction in symptoms of anxiety and depression, as compared to men in those states.</w:t>
      </w:r>
    </w:p>
    <w:p w14:paraId="0EC61EBE" w14:textId="77777777" w:rsidR="009473B3" w:rsidRDefault="00000000">
      <w:r>
        <w:t>Hypothesis 2: Men in states that enacted new abortion protections will experience a reduction in symptoms of anxiety and depression, as compared to men in other states.</w:t>
      </w:r>
    </w:p>
    <w:p w14:paraId="61961EB6" w14:textId="77777777" w:rsidR="009473B3" w:rsidRDefault="00000000">
      <w:r>
        <w:t>Hypothesis 3: Women in states that enacted new abortion protections will experience a reduction in symptoms of anxiety and depression, as compared to women in other states.</w:t>
      </w:r>
    </w:p>
    <w:p w14:paraId="57251517" w14:textId="77777777" w:rsidR="009473B3" w:rsidRDefault="00000000">
      <w:pPr>
        <w:pStyle w:val="Heading2"/>
      </w:pPr>
      <w:bookmarkStart w:id="17" w:name="significance-of-the-proposed-research-2"/>
      <w:bookmarkEnd w:id="16"/>
      <w:r>
        <w:t>Significance of the Proposed Research</w:t>
      </w:r>
    </w:p>
    <w:p w14:paraId="44A6FF8D" w14:textId="77777777" w:rsidR="009473B3" w:rsidRDefault="00000000">
      <w:r>
        <w:t>This research is important because it empirically tests an implied corollary of the theory that reductions in control and autonomy have negative impacts on mental health: improvements in control in autonomy should, therefore, have positive impacts on mental health, but this has not been empirically verified in the case of abortion laws.</w:t>
      </w:r>
    </w:p>
    <w:p w14:paraId="55A6A926" w14:textId="77777777" w:rsidR="009473B3" w:rsidRDefault="00000000">
      <w:pPr>
        <w:pStyle w:val="Heading2"/>
      </w:pPr>
      <w:bookmarkStart w:id="18" w:name="data-2"/>
      <w:bookmarkEnd w:id="17"/>
      <w:r>
        <w:t>Data</w:t>
      </w:r>
    </w:p>
    <w:p w14:paraId="75B40A57" w14:textId="77777777" w:rsidR="009473B3" w:rsidRDefault="00000000">
      <w:r>
        <w:t xml:space="preserve">The independent variable of interest is </w:t>
      </w:r>
      <w:r>
        <w:rPr>
          <w:i/>
          <w:iCs/>
        </w:rPr>
        <w:t>new</w:t>
      </w:r>
      <w:r>
        <w:t xml:space="preserve"> state-level protections of abortion rights post-</w:t>
      </w:r>
      <w:r>
        <w:rPr>
          <w:i/>
          <w:iCs/>
        </w:rPr>
        <w:t>Dobbs</w:t>
      </w:r>
      <w:r>
        <w:t>, which can take the form of constitutional amendments or enacted legislation. Sources like the Guttmacher Institute and the Center for Reproductive Rights will be a useful starting point for this.</w:t>
      </w:r>
    </w:p>
    <w:p w14:paraId="16FDAF42" w14:textId="77777777" w:rsidR="009473B3" w:rsidRDefault="00000000">
      <w:r>
        <w:t xml:space="preserve">The dependent variable of interest is mental health. I will be using data from the Census’s Household Pulse Survey to assess this variable; the twice-monthly survey asked four questions related to mental health. All referenced the </w:t>
      </w:r>
      <w:r>
        <w:rPr>
          <w:i/>
          <w:iCs/>
        </w:rPr>
        <w:t>past two weeks</w:t>
      </w:r>
      <w:r>
        <w:t xml:space="preserve"> and asking respondents to choose how often (not at all, several days, more than half the days, or nearly every day) they were bothered by (1) feeling nervous, anxious, or on edge; (2) not being able to stop or control worrying; (3) having little interest or pleasure in doing things; and (4) feeling down, depressed, or hopeless. Each wave contains approximately 60,000 observations. Sex has been recorded since the first wave, and the HPS began collecting data on gender identity in Phase 3.2, which started on July 21st, 2021. For my purposes, biological sex is probably the better marker of exposure to reductions in autonomy from anti-abortion laws, but it could be worth doing some robustness tests with gender identity as well.</w:t>
      </w:r>
    </w:p>
    <w:p w14:paraId="1D393000" w14:textId="77777777" w:rsidR="009473B3" w:rsidRDefault="00000000">
      <w:pPr>
        <w:pStyle w:val="Heading2"/>
      </w:pPr>
      <w:bookmarkStart w:id="19" w:name="methods-2"/>
      <w:bookmarkEnd w:id="18"/>
      <w:r>
        <w:t>Methods</w:t>
      </w:r>
    </w:p>
    <w:p w14:paraId="35F32C3E" w14:textId="77777777" w:rsidR="009473B3" w:rsidRDefault="00000000">
      <w:r>
        <w:t xml:space="preserve">The method that best suits this question is a difference-in-differences model, which can isolate the “treatment effect” of abortion protections on mental health. I will be taking a very similar approach to (Thornburg et al. 2024). Importantly, their reference groups are women and men in non-trigger ban states; essentially, they assume that men in trigger ban states (in my paper, this would correspond to men in states that protect abortion) are “treated.” I would like to replicate their analyses, but in addition, explore another reference group scheme, comparing women in the states where abortion protections are put into place with </w:t>
      </w:r>
      <w:r>
        <w:rPr>
          <w:i/>
          <w:iCs/>
        </w:rPr>
        <w:t>men in those states</w:t>
      </w:r>
      <w:r>
        <w:t>.</w:t>
      </w:r>
    </w:p>
    <w:p w14:paraId="4CF521DC" w14:textId="77777777" w:rsidR="009473B3" w:rsidRDefault="00000000">
      <w:pPr>
        <w:pStyle w:val="Heading2"/>
      </w:pPr>
      <w:bookmarkStart w:id="20" w:name="expected-results-1"/>
      <w:bookmarkEnd w:id="19"/>
      <w:r>
        <w:lastRenderedPageBreak/>
        <w:t>Expected Results</w:t>
      </w:r>
    </w:p>
    <w:p w14:paraId="7320DEDE" w14:textId="77777777" w:rsidR="009473B3" w:rsidRDefault="00000000">
      <w:r>
        <w:t xml:space="preserve">When discussing potential pitfalls, it’s important to give context to this project. Candidly, this third paper was originally supposed to be essentially the same as (Thornburg et al. 2024); I had planned to use the HPS data to investigate differences in mental health in trigger ban states. They published in </w:t>
      </w:r>
      <w:r>
        <w:rPr>
          <w:i/>
          <w:iCs/>
        </w:rPr>
        <w:t>JAMA</w:t>
      </w:r>
      <w:r>
        <w:t xml:space="preserve"> at the end of January, and I became aware of the publication in mid-February. I have had to pivot rather quickly; although I do believe that this idea is as interesting as the previous, there is a lack of research in this area that focuses on abortion </w:t>
      </w:r>
      <w:r>
        <w:rPr>
          <w:i/>
          <w:iCs/>
        </w:rPr>
        <w:t>protections</w:t>
      </w:r>
      <w:r>
        <w:t xml:space="preserve">. This could be seen as a positive (I am not entering a saturated market), but it also means that, while I have </w:t>
      </w:r>
      <w:r>
        <w:rPr>
          <w:i/>
          <w:iCs/>
        </w:rPr>
        <w:t>theoretical</w:t>
      </w:r>
      <w:r>
        <w:t xml:space="preserve"> grounds to expect a significant result, I do not have </w:t>
      </w:r>
      <w:r>
        <w:rPr>
          <w:i/>
          <w:iCs/>
        </w:rPr>
        <w:t>empirical</w:t>
      </w:r>
      <w:r>
        <w:t xml:space="preserve"> evidence to pad this assumption. It is quite possible that these analyses will produce a null result.</w:t>
      </w:r>
    </w:p>
    <w:p w14:paraId="4F12E4B5" w14:textId="77777777" w:rsidR="009473B3" w:rsidRDefault="00000000">
      <w:r>
        <w:t>Another possible contingency plan involves looking at a different outcome: domestic violence. This involves much the same theoretical framework, but sees Planned Parenthoods as points of contact with social systems that can help prevent domestic and intimate partner violence. In addition, unplanned pregnancy increases risk of intimate partner violence substantially, so there’s reason to believe that increasing access to abortion would decrease IPV (Yakubovich et al. 2018).</w:t>
      </w:r>
    </w:p>
    <w:p w14:paraId="22DCC98D" w14:textId="77777777" w:rsidR="009473B3" w:rsidRDefault="00000000">
      <w:r>
        <w:br w:type="page"/>
      </w:r>
    </w:p>
    <w:p w14:paraId="0B2CD8E1" w14:textId="77777777" w:rsidR="009473B3" w:rsidRDefault="00000000">
      <w:pPr>
        <w:pStyle w:val="Heading1"/>
      </w:pPr>
      <w:bookmarkStart w:id="21" w:name="references"/>
      <w:bookmarkEnd w:id="14"/>
      <w:bookmarkEnd w:id="20"/>
      <w:r>
        <w:lastRenderedPageBreak/>
        <w:t>References</w:t>
      </w:r>
    </w:p>
    <w:p w14:paraId="5288DB1F" w14:textId="77777777" w:rsidR="009473B3" w:rsidRDefault="00000000">
      <w:bookmarkStart w:id="22" w:name="refs"/>
      <w:r>
        <w:t xml:space="preserve">Agénor, Madina, Ashley E. Pérez, Alexa L. Solazzo, Ariel L. Beccia, Mihail Samnaliev, Janson Wu, Brittany M. Charlton, and S. Bryn Austin. 2022. “Assessing Variations in Sexual Orientation- and Gender Identity-Related U.S. State Laws for Sexual and Gender Minority Health Research and Action, 1996-2016.” </w:t>
      </w:r>
      <w:r>
        <w:rPr>
          <w:i/>
          <w:iCs/>
        </w:rPr>
        <w:t>LGBT health</w:t>
      </w:r>
      <w:r>
        <w:t xml:space="preserve"> 9(3):207–16. doi: </w:t>
      </w:r>
      <w:hyperlink r:id="rId7">
        <w:r>
          <w:t>10.1089/lgbt.2021.0157</w:t>
        </w:r>
      </w:hyperlink>
      <w:r>
        <w:t>.</w:t>
      </w:r>
    </w:p>
    <w:p w14:paraId="674B149E" w14:textId="77777777" w:rsidR="009473B3" w:rsidRDefault="00000000">
      <w:r>
        <w:t>Anon. 2024. “</w:t>
      </w:r>
      <w:hyperlink r:id="rId8">
        <w:r>
          <w:t>After Roe Fell: Abortion Laws by State</w:t>
        </w:r>
      </w:hyperlink>
      <w:r>
        <w:t>.”</w:t>
      </w:r>
    </w:p>
    <w:p w14:paraId="4662E1DE" w14:textId="77777777" w:rsidR="009473B3" w:rsidRDefault="00000000">
      <w:r>
        <w:t xml:space="preserve">Asad, Asad L., and Matthew Clair. 2018. “Racialized Legal Status as a Social Determinant of Health.” </w:t>
      </w:r>
      <w:r>
        <w:rPr>
          <w:i/>
          <w:iCs/>
        </w:rPr>
        <w:t>Social Science &amp; Medicine</w:t>
      </w:r>
      <w:r>
        <w:t xml:space="preserve"> 199:19–28. doi: </w:t>
      </w:r>
      <w:hyperlink r:id="rId9">
        <w:r>
          <w:t>10.1016/j.socscimed.2017.03.010</w:t>
        </w:r>
      </w:hyperlink>
      <w:r>
        <w:t>.</w:t>
      </w:r>
    </w:p>
    <w:p w14:paraId="5A7FCDC6" w14:textId="77777777" w:rsidR="009473B3" w:rsidRDefault="00000000">
      <w:r>
        <w:t xml:space="preserve">Austin, Nichole, and Sam Harper. 2018. “Assessing the Impact of TRAP Laws on Abortion and Women’s Health in the USA: A Systematic Review.” </w:t>
      </w:r>
      <w:r>
        <w:rPr>
          <w:i/>
          <w:iCs/>
        </w:rPr>
        <w:t>BMJ Sexual &amp; Reproductive Health</w:t>
      </w:r>
      <w:r>
        <w:t xml:space="preserve"> 44(2):128–34. doi: </w:t>
      </w:r>
      <w:hyperlink r:id="rId10">
        <w:r>
          <w:t>10.1136/bmjsrh-2017-101866</w:t>
        </w:r>
      </w:hyperlink>
      <w:r>
        <w:t>.</w:t>
      </w:r>
    </w:p>
    <w:p w14:paraId="740613BF" w14:textId="77777777" w:rsidR="009473B3" w:rsidRDefault="00000000">
      <w:r>
        <w:t>Baden, Kelly, and Jennifer Driver. 2023. “</w:t>
      </w:r>
      <w:hyperlink r:id="rId11">
        <w:r>
          <w:t>The State Abortion Policy Landscape One Year Post-Roe</w:t>
        </w:r>
      </w:hyperlink>
      <w:r>
        <w:t>.”</w:t>
      </w:r>
    </w:p>
    <w:p w14:paraId="28307907" w14:textId="77777777" w:rsidR="009473B3" w:rsidRDefault="00000000">
      <w:r>
        <w:t xml:space="preserve">Barbee, Harry, Cameron Deal, and Gilbert Gonzales. 2022. “Anti-Transgender Legislationa Public Health Concern for Transgender Youth.” </w:t>
      </w:r>
      <w:r>
        <w:rPr>
          <w:i/>
          <w:iCs/>
        </w:rPr>
        <w:t>JAMA Pediatrics</w:t>
      </w:r>
      <w:r>
        <w:t xml:space="preserve"> 176(2):125–26. doi: </w:t>
      </w:r>
      <w:hyperlink r:id="rId12">
        <w:r>
          <w:t>10.1001/jamapediatrics.2021.4483</w:t>
        </w:r>
      </w:hyperlink>
      <w:r>
        <w:t>.</w:t>
      </w:r>
    </w:p>
    <w:p w14:paraId="669FD7EF" w14:textId="77777777" w:rsidR="009473B3" w:rsidRDefault="00000000">
      <w:r>
        <w:t xml:space="preserve">Bernardi, Luca, Mikko Mattila, Achillefs Papageorgiou, and Lauri Rapeli. 2023. “Down But Not Yet Out: Depression, Political Efficacy, and Voting.” </w:t>
      </w:r>
      <w:r>
        <w:rPr>
          <w:i/>
          <w:iCs/>
        </w:rPr>
        <w:t>Political Psychology</w:t>
      </w:r>
      <w:r>
        <w:t xml:space="preserve"> 44(2):217–33. doi: </w:t>
      </w:r>
      <w:hyperlink r:id="rId13">
        <w:r>
          <w:t>10.1111/pops.12837</w:t>
        </w:r>
      </w:hyperlink>
      <w:r>
        <w:t>.</w:t>
      </w:r>
    </w:p>
    <w:p w14:paraId="1D2BD63A" w14:textId="77777777" w:rsidR="009473B3" w:rsidRDefault="00000000">
      <w:r>
        <w:t xml:space="preserve">Clarke, Damian, and Hanna Mühlrad. 2021. “Abortion Laws and Women’s Health.” </w:t>
      </w:r>
      <w:r>
        <w:rPr>
          <w:i/>
          <w:iCs/>
        </w:rPr>
        <w:t>Journal of Health Economics</w:t>
      </w:r>
      <w:r>
        <w:t xml:space="preserve"> 76:102413. doi: </w:t>
      </w:r>
      <w:hyperlink r:id="rId14">
        <w:r>
          <w:t>10.1016/j.jhealeco.2020.102413</w:t>
        </w:r>
      </w:hyperlink>
      <w:r>
        <w:t>.</w:t>
      </w:r>
    </w:p>
    <w:p w14:paraId="35C61FD9" w14:textId="77777777" w:rsidR="009473B3" w:rsidRDefault="00000000">
      <w:r>
        <w:t>Funakoshi, Minami, and Disha Raychaudhuri. 2023. “</w:t>
      </w:r>
      <w:hyperlink r:id="rId15">
        <w:r>
          <w:t>The Rise of Anti-Trans Bills in the US</w:t>
        </w:r>
      </w:hyperlink>
      <w:r>
        <w:t xml:space="preserve">.” </w:t>
      </w:r>
      <w:r>
        <w:rPr>
          <w:i/>
          <w:iCs/>
        </w:rPr>
        <w:t>Reuters</w:t>
      </w:r>
      <w:r>
        <w:t>.</w:t>
      </w:r>
    </w:p>
    <w:p w14:paraId="0CC0AB31" w14:textId="77777777" w:rsidR="009473B3" w:rsidRDefault="00000000">
      <w:r>
        <w:t xml:space="preserve">Garcia, Marc A., Patricia A. Homan, Catherine García, and Tyson H. Brown. 2021. “The Color of COVID-19: Structural Racism and the Disproportionate Impact of the Pandemic on Older Black and Latinx Adults.” </w:t>
      </w:r>
      <w:r>
        <w:rPr>
          <w:i/>
          <w:iCs/>
        </w:rPr>
        <w:t>The Journals of Gerontology: Series B</w:t>
      </w:r>
      <w:r>
        <w:t xml:space="preserve"> 76(3):e75–80. doi: </w:t>
      </w:r>
      <w:hyperlink r:id="rId16">
        <w:r>
          <w:t>10.1093/geronb/gbaa114</w:t>
        </w:r>
      </w:hyperlink>
      <w:r>
        <w:t>.</w:t>
      </w:r>
    </w:p>
    <w:p w14:paraId="567424BB" w14:textId="77777777" w:rsidR="009473B3" w:rsidRDefault="00000000">
      <w:r>
        <w:t xml:space="preserve">Hatzenbuehler, Mark L. 2014. “Structural Stigma and the Health of Lesbian, Gay, and Bisexual Populations.” </w:t>
      </w:r>
      <w:r>
        <w:rPr>
          <w:i/>
          <w:iCs/>
        </w:rPr>
        <w:t>Current Directions in Psychological Science</w:t>
      </w:r>
      <w:r>
        <w:t xml:space="preserve"> 23(2):127–32. doi: </w:t>
      </w:r>
      <w:hyperlink r:id="rId17">
        <w:r>
          <w:t>10.1177/0963721414523775</w:t>
        </w:r>
      </w:hyperlink>
      <w:r>
        <w:t>.</w:t>
      </w:r>
    </w:p>
    <w:p w14:paraId="40B20109" w14:textId="77777777" w:rsidR="009473B3" w:rsidRDefault="00000000">
      <w:r>
        <w:t xml:space="preserve">Hatzenbuehler, Mark L. 2016. “Structural Stigma: Research Evidence and Implications for Psychological Science.” </w:t>
      </w:r>
      <w:r>
        <w:rPr>
          <w:i/>
          <w:iCs/>
        </w:rPr>
        <w:t>American Psychologist</w:t>
      </w:r>
      <w:r>
        <w:t xml:space="preserve"> 71(8):742–51. doi: </w:t>
      </w:r>
      <w:hyperlink r:id="rId18">
        <w:r>
          <w:t>10.1037/amp0000068</w:t>
        </w:r>
      </w:hyperlink>
      <w:r>
        <w:t>.</w:t>
      </w:r>
    </w:p>
    <w:p w14:paraId="07DE8DB7" w14:textId="77777777" w:rsidR="009473B3" w:rsidRDefault="00000000">
      <w:r>
        <w:t xml:space="preserve">HIng, Anna K. 2018. “The Right to Vote, The Right to Health: Voter Suppression as a Determinant of Racial Health Disparities.” </w:t>
      </w:r>
      <w:r>
        <w:rPr>
          <w:i/>
          <w:iCs/>
        </w:rPr>
        <w:t>Journal of Health Disparities Research and Practice</w:t>
      </w:r>
      <w:r>
        <w:t xml:space="preserve"> 12(6).</w:t>
      </w:r>
    </w:p>
    <w:p w14:paraId="7FEF57FB" w14:textId="77777777" w:rsidR="009473B3" w:rsidRDefault="00000000">
      <w:r>
        <w:t xml:space="preserve">Hing, Anna K. 2024. “Building Power, Advancing Health Equity: Insights from Voting and Beyond.” </w:t>
      </w:r>
      <w:r>
        <w:rPr>
          <w:i/>
          <w:iCs/>
        </w:rPr>
        <w:t>American Journal of Public Health</w:t>
      </w:r>
      <w:r>
        <w:t xml:space="preserve"> e1–3. doi: </w:t>
      </w:r>
      <w:hyperlink r:id="rId19">
        <w:r>
          <w:t>10.2105/AJPH.2024.307578</w:t>
        </w:r>
      </w:hyperlink>
      <w:r>
        <w:t>.</w:t>
      </w:r>
    </w:p>
    <w:p w14:paraId="1C0F225C" w14:textId="77777777" w:rsidR="009473B3" w:rsidRDefault="00000000">
      <w:r>
        <w:lastRenderedPageBreak/>
        <w:t xml:space="preserve">Homan, Patricia A., and Tyson H. Brown. 2022. “Sick and Tired of Being Excluded: Structural Racism in Disenfranchisement as a Threat to Population Health Equity.” </w:t>
      </w:r>
      <w:r>
        <w:rPr>
          <w:i/>
          <w:iCs/>
        </w:rPr>
        <w:t>Health Affairs</w:t>
      </w:r>
      <w:r>
        <w:t xml:space="preserve"> 41(2):219–27. doi: </w:t>
      </w:r>
      <w:hyperlink r:id="rId20">
        <w:r>
          <w:t>10.1377/hlthaff.2021.01414</w:t>
        </w:r>
      </w:hyperlink>
      <w:r>
        <w:t>.</w:t>
      </w:r>
    </w:p>
    <w:p w14:paraId="0BA5E5BD" w14:textId="77777777" w:rsidR="009473B3" w:rsidRDefault="00000000">
      <w:r>
        <w:t xml:space="preserve">Horne, Sharon G., Mallaigh McGinley, Nedim Yel, and Meredith R. Maroney. 2022. “The Stench of Bathroom Bills and Anti-Transgender Legislation: Anxiety and Depression Among Transgender, Nonbinary, and Cisgender LGBQ People During a State Referendum.” </w:t>
      </w:r>
      <w:r>
        <w:rPr>
          <w:i/>
          <w:iCs/>
        </w:rPr>
        <w:t>Journal of Counseling Psychology</w:t>
      </w:r>
      <w:r>
        <w:t xml:space="preserve"> 69(1):1–13. doi: </w:t>
      </w:r>
      <w:hyperlink r:id="rId21">
        <w:r>
          <w:t>10.1037/cou0000558</w:t>
        </w:r>
      </w:hyperlink>
      <w:r>
        <w:t>.</w:t>
      </w:r>
    </w:p>
    <w:p w14:paraId="766B2D9E" w14:textId="77777777" w:rsidR="009473B3" w:rsidRDefault="00000000">
      <w:r>
        <w:t xml:space="preserve">Hull, Kathleen E., and Timothy A. Ortyl. 2019. “Conventional and Cutting-Edge: Definitions of Family in LGBT Communities.” </w:t>
      </w:r>
      <w:r>
        <w:rPr>
          <w:i/>
          <w:iCs/>
        </w:rPr>
        <w:t>Sexuality Research and Social Policy</w:t>
      </w:r>
      <w:r>
        <w:t xml:space="preserve"> 16(1):31–43. doi: </w:t>
      </w:r>
      <w:hyperlink r:id="rId22">
        <w:r>
          <w:t>10.1007/s13178-018-0324-2</w:t>
        </w:r>
      </w:hyperlink>
      <w:r>
        <w:t>.</w:t>
      </w:r>
    </w:p>
    <w:p w14:paraId="08C1FBD1" w14:textId="77777777" w:rsidR="009473B3" w:rsidRDefault="00000000">
      <w:r>
        <w:t xml:space="preserve">Jiménez, Tomás R. 2008. “Mexican Immigrant Replenishment and the Continuing Significance of Ethnicity and Race.” </w:t>
      </w:r>
      <w:r>
        <w:rPr>
          <w:i/>
          <w:iCs/>
        </w:rPr>
        <w:t>American Journal of Sociology</w:t>
      </w:r>
      <w:r>
        <w:t xml:space="preserve"> 113(6):1527–67. doi: </w:t>
      </w:r>
      <w:hyperlink r:id="rId23">
        <w:r>
          <w:t>10.1086/587151</w:t>
        </w:r>
      </w:hyperlink>
      <w:r>
        <w:t>.</w:t>
      </w:r>
    </w:p>
    <w:p w14:paraId="14E62651" w14:textId="77777777" w:rsidR="009473B3" w:rsidRDefault="00000000">
      <w:r>
        <w:t xml:space="preserve">Korteweg, Anna C. 2013. “The ‘Headrag Tax’: Impossible Laws and Their Symbolic and Material Consequences.” </w:t>
      </w:r>
      <w:r>
        <w:rPr>
          <w:i/>
          <w:iCs/>
        </w:rPr>
        <w:t>Social Identities</w:t>
      </w:r>
      <w:r>
        <w:t xml:space="preserve"> 19(6):759–74. doi: </w:t>
      </w:r>
      <w:hyperlink r:id="rId24">
        <w:r>
          <w:t>10.1080/13504630.2013.842674</w:t>
        </w:r>
      </w:hyperlink>
      <w:r>
        <w:t>.</w:t>
      </w:r>
    </w:p>
    <w:p w14:paraId="5C58BD67" w14:textId="77777777" w:rsidR="009473B3" w:rsidRDefault="00000000">
      <w:r>
        <w:t>Levin, Sam. 2022. “</w:t>
      </w:r>
      <w:hyperlink r:id="rId25">
        <w:r>
          <w:t>More Than 50</w:t>
        </w:r>
      </w:hyperlink>
      <w:r>
        <w:t xml:space="preserve">.” </w:t>
      </w:r>
      <w:r>
        <w:rPr>
          <w:i/>
          <w:iCs/>
        </w:rPr>
        <w:t>The Guardian</w:t>
      </w:r>
      <w:r>
        <w:t>.</w:t>
      </w:r>
    </w:p>
    <w:p w14:paraId="5366F94D" w14:textId="77777777" w:rsidR="009473B3" w:rsidRDefault="00000000">
      <w:r>
        <w:t xml:space="preserve">Li, Quan, Michael J. Pomante, and Scot Schraufnagel. 2018. “Cost of Voting in the American States.” </w:t>
      </w:r>
      <w:r>
        <w:rPr>
          <w:i/>
          <w:iCs/>
        </w:rPr>
        <w:t>Election Law Journal: Rules, Politics, and Policy</w:t>
      </w:r>
      <w:r>
        <w:t xml:space="preserve"> 17(3):234–47. doi: </w:t>
      </w:r>
      <w:hyperlink r:id="rId26">
        <w:r>
          <w:t>10.1089/elj.2017.0478</w:t>
        </w:r>
      </w:hyperlink>
      <w:r>
        <w:t>.</w:t>
      </w:r>
    </w:p>
    <w:p w14:paraId="3076D37E" w14:textId="77777777" w:rsidR="009473B3" w:rsidRDefault="00000000">
      <w:r>
        <w:t xml:space="preserve">Marmot, Michael. 2004. “Status Syndrome.” </w:t>
      </w:r>
      <w:r>
        <w:rPr>
          <w:i/>
          <w:iCs/>
        </w:rPr>
        <w:t>Significance</w:t>
      </w:r>
      <w:r>
        <w:t xml:space="preserve"> 1(4):150–54. doi: </w:t>
      </w:r>
      <w:hyperlink r:id="rId27">
        <w:r>
          <w:t>10.1111/j.1740-9713.2004.00058.x</w:t>
        </w:r>
      </w:hyperlink>
      <w:r>
        <w:t>.</w:t>
      </w:r>
    </w:p>
    <w:p w14:paraId="599C5E6A" w14:textId="77777777" w:rsidR="009473B3" w:rsidRDefault="00000000">
      <w:r>
        <w:t xml:space="preserve">Marmot, Michael. 2015. “The Health Gap: The Challenge of an Unequal World.” </w:t>
      </w:r>
      <w:r>
        <w:rPr>
          <w:i/>
          <w:iCs/>
        </w:rPr>
        <w:t>The Lancet</w:t>
      </w:r>
      <w:r>
        <w:t xml:space="preserve"> 386(10011):2442–44. doi: </w:t>
      </w:r>
      <w:hyperlink r:id="rId28">
        <w:r>
          <w:t>10.1016/S0140-6736(15)00150-6</w:t>
        </w:r>
      </w:hyperlink>
      <w:r>
        <w:t>.</w:t>
      </w:r>
    </w:p>
    <w:p w14:paraId="5EDEF9F3" w14:textId="77777777" w:rsidR="009473B3" w:rsidRDefault="00000000">
      <w:r>
        <w:t>McCann, Allison, and Amy Schoenfeld Walker. 2023. “</w:t>
      </w:r>
      <w:hyperlink r:id="rId29">
        <w:r>
          <w:t>One Year, 61 Clinics: How Dobbs Changed the Abortion Landscape</w:t>
        </w:r>
      </w:hyperlink>
      <w:r>
        <w:t xml:space="preserve">.” </w:t>
      </w:r>
      <w:r>
        <w:rPr>
          <w:i/>
          <w:iCs/>
        </w:rPr>
        <w:t>The New York Times</w:t>
      </w:r>
      <w:r>
        <w:t>.</w:t>
      </w:r>
    </w:p>
    <w:p w14:paraId="2B27B945" w14:textId="77777777" w:rsidR="009473B3" w:rsidRDefault="00000000">
      <w:r>
        <w:t>NAF. 2023. “2022 Violence &amp; Disruption Statistics.”</w:t>
      </w:r>
    </w:p>
    <w:p w14:paraId="2DFB4550" w14:textId="77777777" w:rsidR="009473B3" w:rsidRDefault="00000000">
      <w:r>
        <w:t xml:space="preserve">Nagy, Beáta, and Adrien Rigó. 2021. “The Psychosocial Aspects of Induced Abortion: Men in the Focus.” </w:t>
      </w:r>
      <w:r>
        <w:rPr>
          <w:i/>
          <w:iCs/>
        </w:rPr>
        <w:t>Men and Masculinities</w:t>
      </w:r>
      <w:r>
        <w:t xml:space="preserve"> 24(4):671–89. doi: </w:t>
      </w:r>
      <w:hyperlink r:id="rId30">
        <w:r>
          <w:t>10.1177/1097184X19856399</w:t>
        </w:r>
      </w:hyperlink>
      <w:r>
        <w:t>.</w:t>
      </w:r>
    </w:p>
    <w:p w14:paraId="1B9EDF36" w14:textId="77777777" w:rsidR="009473B3" w:rsidRDefault="00000000">
      <w:r>
        <w:t>Nomaguchi, Kei, and Melissa A. Milkie. 2017. “</w:t>
      </w:r>
      <w:hyperlink r:id="rId31">
        <w:r>
          <w:t>Sociological Perspectives on Parenting Stress: How Social Structure and Culture Shape Parental Strain and the Well-Being of Parents and Children</w:t>
        </w:r>
      </w:hyperlink>
      <w:r>
        <w:t>.” Pp. 47–73 in, edited by K. Deater-Deckard and R. Panneton. Cham: Springer International Publishing.</w:t>
      </w:r>
    </w:p>
    <w:p w14:paraId="38E5E998" w14:textId="77777777" w:rsidR="009473B3" w:rsidRDefault="00000000">
      <w:r>
        <w:t xml:space="preserve">Ofosu, George Kwaku. 2019. “Do Fairer Elections Increase the Responsiveness of Politicians?” </w:t>
      </w:r>
      <w:r>
        <w:rPr>
          <w:i/>
          <w:iCs/>
        </w:rPr>
        <w:t>American Political Science Review</w:t>
      </w:r>
      <w:r>
        <w:t xml:space="preserve"> 113(4):963–79. doi: </w:t>
      </w:r>
      <w:hyperlink r:id="rId32">
        <w:r>
          <w:t>10.1017/S0003055419000479</w:t>
        </w:r>
      </w:hyperlink>
      <w:r>
        <w:t>.</w:t>
      </w:r>
    </w:p>
    <w:p w14:paraId="673F30ED" w14:textId="77777777" w:rsidR="009473B3" w:rsidRDefault="00000000">
      <w:r>
        <w:t xml:space="preserve">Phelan, Jo C., and Bruce G. Link. 2015. “Is Racism a Fundamental Cause of Inequalities in Health?” </w:t>
      </w:r>
      <w:r>
        <w:rPr>
          <w:i/>
          <w:iCs/>
        </w:rPr>
        <w:t>Annual Review of Sociology</w:t>
      </w:r>
      <w:r>
        <w:t xml:space="preserve"> 41(1):311–30. doi: </w:t>
      </w:r>
      <w:hyperlink r:id="rId33">
        <w:r>
          <w:t>10.1146/annurev-soc-073014-112305</w:t>
        </w:r>
      </w:hyperlink>
      <w:r>
        <w:t>.</w:t>
      </w:r>
    </w:p>
    <w:p w14:paraId="7E44E396" w14:textId="77777777" w:rsidR="009473B3" w:rsidRDefault="00000000">
      <w:r>
        <w:t xml:space="preserve">Pickett, Kate E., and Richard G. Wilkinson. 2015. “Income Inequality and Health: A Causal Review.” </w:t>
      </w:r>
      <w:r>
        <w:rPr>
          <w:i/>
          <w:iCs/>
        </w:rPr>
        <w:t>Social Science &amp; Medicine</w:t>
      </w:r>
      <w:r>
        <w:t xml:space="preserve"> 128:316–26. doi: </w:t>
      </w:r>
      <w:hyperlink r:id="rId34">
        <w:r>
          <w:t>10.1016/j.socscimed.2014.12.031</w:t>
        </w:r>
      </w:hyperlink>
      <w:r>
        <w:t>.</w:t>
      </w:r>
    </w:p>
    <w:p w14:paraId="33DBFC7C" w14:textId="77777777" w:rsidR="009473B3" w:rsidRDefault="00000000">
      <w:r>
        <w:t xml:space="preserve">Pomeranz, Jennifer L. 2024. “The Entrenched Erosion of Meaningful Participation in US Elections.” </w:t>
      </w:r>
      <w:r>
        <w:rPr>
          <w:i/>
          <w:iCs/>
        </w:rPr>
        <w:t>American Journal of Public Health</w:t>
      </w:r>
      <w:r>
        <w:t xml:space="preserve"> 114(3):294–96. doi: </w:t>
      </w:r>
      <w:hyperlink r:id="rId35">
        <w:r>
          <w:t>10.2105/AJPH.2023.307567</w:t>
        </w:r>
      </w:hyperlink>
      <w:r>
        <w:t>.</w:t>
      </w:r>
    </w:p>
    <w:p w14:paraId="1971F8CA" w14:textId="77777777" w:rsidR="009473B3" w:rsidRDefault="00000000">
      <w:r>
        <w:lastRenderedPageBreak/>
        <w:t xml:space="preserve">Rosenbaum, Sara. 2017. “Can Community Health Centers Fill The Health Care Void Left By Defunding Planned Parenthood?” </w:t>
      </w:r>
      <w:r>
        <w:rPr>
          <w:i/>
          <w:iCs/>
        </w:rPr>
        <w:t>Health Affairs Forefront</w:t>
      </w:r>
      <w:r>
        <w:t xml:space="preserve">. doi: </w:t>
      </w:r>
      <w:hyperlink r:id="rId36">
        <w:r>
          <w:t>10.1377/forefront.20170127.058486</w:t>
        </w:r>
      </w:hyperlink>
      <w:r>
        <w:t>.</w:t>
      </w:r>
    </w:p>
    <w:p w14:paraId="44622BC2" w14:textId="77777777" w:rsidR="009473B3" w:rsidRDefault="00000000">
      <w:r>
        <w:t xml:space="preserve">Rugeley, Cynthia, and Robert A. Jackson. 2009. “Getting on the Rolls: Analyzing the Effects of Lowered Barriers on Voter Registration.” </w:t>
      </w:r>
      <w:r>
        <w:rPr>
          <w:i/>
          <w:iCs/>
        </w:rPr>
        <w:t>State Politics &amp; Policy Quarterly</w:t>
      </w:r>
      <w:r>
        <w:t xml:space="preserve"> 9(1):56–78. doi: </w:t>
      </w:r>
      <w:hyperlink r:id="rId37">
        <w:r>
          <w:t>10.1177/153244000900900103</w:t>
        </w:r>
      </w:hyperlink>
      <w:r>
        <w:t>.</w:t>
      </w:r>
    </w:p>
    <w:p w14:paraId="05358B2B" w14:textId="77777777" w:rsidR="009473B3" w:rsidRDefault="00000000">
      <w:r>
        <w:t xml:space="preserve">Schraufnagel, Scot, Michael J. Pomante, and Quan Li. 2022. “Cost of Voting in the American States: 2022*.” </w:t>
      </w:r>
      <w:r>
        <w:rPr>
          <w:i/>
          <w:iCs/>
        </w:rPr>
        <w:t>Election Law Journal: Rules, Politics, and Policy</w:t>
      </w:r>
      <w:r>
        <w:t xml:space="preserve"> 21(3):220–28. doi: </w:t>
      </w:r>
      <w:hyperlink r:id="rId38">
        <w:r>
          <w:t>10.1089/elj.2022.0041</w:t>
        </w:r>
      </w:hyperlink>
      <w:r>
        <w:t>.</w:t>
      </w:r>
    </w:p>
    <w:p w14:paraId="7228B45B" w14:textId="77777777" w:rsidR="009473B3" w:rsidRDefault="00000000">
      <w:r>
        <w:t xml:space="preserve">Shineman, Victoria. 2020. “Restoring Voting Rights: Evidence That Reversing Felony Disenfranchisement Increases Political Efficacy.” </w:t>
      </w:r>
      <w:r>
        <w:rPr>
          <w:i/>
          <w:iCs/>
        </w:rPr>
        <w:t>Policy Studies</w:t>
      </w:r>
      <w:r>
        <w:t xml:space="preserve"> 41(2-3):131–50. doi: </w:t>
      </w:r>
      <w:hyperlink r:id="rId39">
        <w:r>
          <w:t>10.1080/01442872.2019.1694655</w:t>
        </w:r>
      </w:hyperlink>
      <w:r>
        <w:t>.</w:t>
      </w:r>
    </w:p>
    <w:p w14:paraId="1E9BE8B1" w14:textId="77777777" w:rsidR="009473B3" w:rsidRDefault="00000000">
      <w:r>
        <w:t xml:space="preserve">Tebbe, Elliot A., Melissa Simone, Emily Wilson, and Madeline Hunsicker. 2022. “A Dangerous Visibility: Moderating Effects of Antitrans Legislative Efforts on Trans and Gender-Diverse Mental Health.” </w:t>
      </w:r>
      <w:r>
        <w:rPr>
          <w:i/>
          <w:iCs/>
        </w:rPr>
        <w:t>Psychology of Sexual Orientation and Gender Diversity</w:t>
      </w:r>
      <w:r>
        <w:t xml:space="preserve"> 9(3):259–71. doi: </w:t>
      </w:r>
      <w:hyperlink r:id="rId40">
        <w:r>
          <w:t>10.1037/sgd0000481</w:t>
        </w:r>
      </w:hyperlink>
      <w:r>
        <w:t>.</w:t>
      </w:r>
    </w:p>
    <w:p w14:paraId="5E3A9BDA" w14:textId="77777777" w:rsidR="009473B3" w:rsidRDefault="00000000">
      <w:r>
        <w:t xml:space="preserve">Thornburg, Benjamin, Alene Kennedy-Hendricks, Joanne D. Rosen, and Matthew D. Eisenberg. 2024. “Anxiety and Depression Symptoms After the Dobbs Abortion Decision.” </w:t>
      </w:r>
      <w:r>
        <w:rPr>
          <w:i/>
          <w:iCs/>
        </w:rPr>
        <w:t>JAMA</w:t>
      </w:r>
      <w:r>
        <w:t xml:space="preserve"> 331(4):294–301. doi: </w:t>
      </w:r>
      <w:hyperlink r:id="rId41">
        <w:r>
          <w:t>10.1001/jama.2023.25599</w:t>
        </w:r>
      </w:hyperlink>
      <w:r>
        <w:t>.</w:t>
      </w:r>
    </w:p>
    <w:p w14:paraId="0979D3F7" w14:textId="77777777" w:rsidR="009473B3" w:rsidRDefault="00000000">
      <w:r>
        <w:t xml:space="preserve">Torche, Florencia, and Tamkinat Rauf. 2021a. “The Political Context and Infant Health in the United States.” </w:t>
      </w:r>
      <w:r>
        <w:rPr>
          <w:i/>
          <w:iCs/>
        </w:rPr>
        <w:t>American Sociological Review</w:t>
      </w:r>
      <w:r>
        <w:t xml:space="preserve"> 86(3):377–405. doi: </w:t>
      </w:r>
      <w:hyperlink r:id="rId42">
        <w:r>
          <w:t>10.1177/00031224211000710</w:t>
        </w:r>
      </w:hyperlink>
      <w:r>
        <w:t>.</w:t>
      </w:r>
    </w:p>
    <w:p w14:paraId="21C54F13" w14:textId="77777777" w:rsidR="009473B3" w:rsidRDefault="00000000">
      <w:r>
        <w:t xml:space="preserve">Torche, Florencia, and Tamkinat Rauf. 2021b. “The Transition to Fatherhood and the Health of Men.” </w:t>
      </w:r>
      <w:r>
        <w:rPr>
          <w:i/>
          <w:iCs/>
        </w:rPr>
        <w:t>Journal of Marriage and Family</w:t>
      </w:r>
      <w:r>
        <w:t xml:space="preserve"> 83(2):446–65. doi: </w:t>
      </w:r>
      <w:hyperlink r:id="rId43">
        <w:r>
          <w:t>10.1111/jomf.12732</w:t>
        </w:r>
      </w:hyperlink>
      <w:r>
        <w:t>.</w:t>
      </w:r>
    </w:p>
    <w:p w14:paraId="2977430D" w14:textId="77777777" w:rsidR="009473B3" w:rsidRDefault="00000000">
      <w:r>
        <w:t xml:space="preserve">Tran, Nguyen K., Kellan E. Baker, Elle Lett, and Ayden I. Scheim. 2023. “State-Level Heterogeneity in Associations Between Structural Stigma and Individual Health Care Access: A Multilevel Analysis of Transgender Adults in the United States.” </w:t>
      </w:r>
      <w:r>
        <w:rPr>
          <w:i/>
          <w:iCs/>
        </w:rPr>
        <w:t>Journal of Health Services Research &amp; Policy</w:t>
      </w:r>
      <w:r>
        <w:t xml:space="preserve"> 28(2):109–18. doi: </w:t>
      </w:r>
      <w:hyperlink r:id="rId44">
        <w:r>
          <w:t>10.1177/13558196221123413</w:t>
        </w:r>
      </w:hyperlink>
      <w:r>
        <w:t>.</w:t>
      </w:r>
    </w:p>
    <w:p w14:paraId="5F541792" w14:textId="77777777" w:rsidR="009473B3" w:rsidRDefault="00000000">
      <w:r>
        <w:t xml:space="preserve">Yagoda, Nicholas. 2019. “Addressing Health Disparities Through Voter Engagement.” </w:t>
      </w:r>
      <w:r>
        <w:rPr>
          <w:i/>
          <w:iCs/>
        </w:rPr>
        <w:t>The Annals of Family Medicine</w:t>
      </w:r>
      <w:r>
        <w:t xml:space="preserve"> 17(5):459–61. doi: </w:t>
      </w:r>
      <w:hyperlink r:id="rId45">
        <w:r>
          <w:t>10.1370/afm.2441</w:t>
        </w:r>
      </w:hyperlink>
      <w:r>
        <w:t>.</w:t>
      </w:r>
    </w:p>
    <w:p w14:paraId="381931AD" w14:textId="77777777" w:rsidR="009473B3" w:rsidRDefault="00000000">
      <w:r>
        <w:t xml:space="preserve">Yakubovich, Alexa R., Heidi Stöckl, Joseph Murray, G. J. Melendez-Torres, Janina I. Steinert, Calla E. Y. Glavin, and David K. Humphreys. 2018. “Risk and Protective Factors for Intimate Partner Violence Against Women: Systematic Review and Meta-Analyses of Prospectivelongitudinal Studies.” </w:t>
      </w:r>
      <w:r>
        <w:rPr>
          <w:i/>
          <w:iCs/>
        </w:rPr>
        <w:t>American Journal of Public Health</w:t>
      </w:r>
      <w:r>
        <w:t xml:space="preserve"> 108(7):e1–11. doi: </w:t>
      </w:r>
      <w:hyperlink r:id="rId46">
        <w:r>
          <w:t>10.2105/AJPH.2018.304428</w:t>
        </w:r>
      </w:hyperlink>
      <w:r>
        <w:t>.</w:t>
      </w:r>
    </w:p>
    <w:p w14:paraId="39939A6E" w14:textId="77777777" w:rsidR="009473B3" w:rsidRDefault="00000000">
      <w:r>
        <w:t xml:space="preserve">Zandberg, Jonathan, Rebecca Waller, Elina Visoki, and Ran Barzilay. 2023. “Association Between State-Level Access to Reproductive Care and Suicide Rates Among Women of Reproductive Age in the United States.” </w:t>
      </w:r>
      <w:r>
        <w:rPr>
          <w:i/>
          <w:iCs/>
        </w:rPr>
        <w:t>JAMA Psychiatry</w:t>
      </w:r>
      <w:r>
        <w:t xml:space="preserve"> 80(2):127–34. doi: </w:t>
      </w:r>
      <w:hyperlink r:id="rId47">
        <w:r>
          <w:t>10.1001/jamapsychiatry.2022.4394</w:t>
        </w:r>
      </w:hyperlink>
      <w:r>
        <w:t>.</w:t>
      </w:r>
    </w:p>
    <w:p w14:paraId="6E984CF8" w14:textId="77777777" w:rsidR="009473B3" w:rsidRDefault="00000000">
      <w:r>
        <w:lastRenderedPageBreak/>
        <w:t xml:space="preserve">Zubizarreta, Dougie, Mai-Han Trinh, and Sari L. Reisner. 2024. “Quantitative Approaches to Measuring Structural Cisgenderism.” </w:t>
      </w:r>
      <w:r>
        <w:rPr>
          <w:i/>
          <w:iCs/>
        </w:rPr>
        <w:t>Social Science &amp; Medicine</w:t>
      </w:r>
      <w:r>
        <w:t xml:space="preserve"> 340:116437. doi: </w:t>
      </w:r>
      <w:hyperlink r:id="rId48">
        <w:r>
          <w:t>10.1016/j.socscimed.2023.116437</w:t>
        </w:r>
      </w:hyperlink>
      <w:r>
        <w:t>.</w:t>
      </w:r>
    </w:p>
    <w:p w14:paraId="63CDAC38" w14:textId="77777777" w:rsidR="009473B3" w:rsidRDefault="00000000">
      <w:bookmarkStart w:id="23" w:name="ref-agénor2022"/>
      <w:r>
        <w:t xml:space="preserve">Agénor, Madina, Ashley E. Pérez, Alexa L. Solazzo, Ariel L. Beccia, Mihail Samnaliev, Janson Wu, Brittany M. Charlton, and S. Bryn Austin. 2022. “Assessing Variations in Sexual Orientation- and Gender Identity-Related U.S. State Laws for Sexual and Gender Minority Health Research and Action, 1996-2016.” </w:t>
      </w:r>
      <w:r>
        <w:rPr>
          <w:i/>
          <w:iCs/>
        </w:rPr>
        <w:t>LGBT health</w:t>
      </w:r>
      <w:r>
        <w:t xml:space="preserve"> 9(3):207–16. doi: </w:t>
      </w:r>
      <w:hyperlink r:id="rId49">
        <w:r>
          <w:t>10.1089/lgbt.2021.0157</w:t>
        </w:r>
      </w:hyperlink>
      <w:r>
        <w:t>.</w:t>
      </w:r>
    </w:p>
    <w:p w14:paraId="6454D05C" w14:textId="77777777" w:rsidR="009473B3" w:rsidRDefault="00000000">
      <w:bookmarkStart w:id="24" w:name="ref-roe24"/>
      <w:bookmarkEnd w:id="23"/>
      <w:r>
        <w:t>Anon. 2024. “</w:t>
      </w:r>
      <w:hyperlink r:id="rId50">
        <w:r>
          <w:t>After Roe Fell: Abortion Laws by State</w:t>
        </w:r>
      </w:hyperlink>
      <w:r>
        <w:t>.”</w:t>
      </w:r>
    </w:p>
    <w:p w14:paraId="24CA4878" w14:textId="77777777" w:rsidR="009473B3" w:rsidRDefault="00000000">
      <w:bookmarkStart w:id="25" w:name="ref-asad2018"/>
      <w:bookmarkEnd w:id="24"/>
      <w:r>
        <w:t xml:space="preserve">Asad, Asad L., and Matthew Clair. 2018. “Racialized Legal Status as a Social Determinant of Health.” </w:t>
      </w:r>
      <w:r>
        <w:rPr>
          <w:i/>
          <w:iCs/>
        </w:rPr>
        <w:t>Social Science &amp; Medicine</w:t>
      </w:r>
      <w:r>
        <w:t xml:space="preserve"> 199:19–28. doi: </w:t>
      </w:r>
      <w:hyperlink r:id="rId51">
        <w:r>
          <w:t>10.1016/j.socscimed.2017.03.010</w:t>
        </w:r>
      </w:hyperlink>
      <w:r>
        <w:t>.</w:t>
      </w:r>
    </w:p>
    <w:p w14:paraId="7F4ADE69" w14:textId="77777777" w:rsidR="009473B3" w:rsidRDefault="00000000">
      <w:bookmarkStart w:id="26" w:name="ref-austin2018"/>
      <w:bookmarkEnd w:id="25"/>
      <w:r>
        <w:t xml:space="preserve">Austin, Nichole, and Sam Harper. 2018. “Assessing the Impact of TRAP Laws on Abortion and Women’s Health in the USA: A Systematic Review.” </w:t>
      </w:r>
      <w:r>
        <w:rPr>
          <w:i/>
          <w:iCs/>
        </w:rPr>
        <w:t>BMJ Sexual &amp; Reproductive Health</w:t>
      </w:r>
      <w:r>
        <w:t xml:space="preserve"> 44(2):128–34. doi: </w:t>
      </w:r>
      <w:hyperlink r:id="rId52">
        <w:r>
          <w:t>10.1136/bmjsrh-2017-101866</w:t>
        </w:r>
      </w:hyperlink>
      <w:r>
        <w:t>.</w:t>
      </w:r>
    </w:p>
    <w:p w14:paraId="76435289" w14:textId="77777777" w:rsidR="009473B3" w:rsidRDefault="00000000">
      <w:bookmarkStart w:id="27" w:name="ref-baden2023"/>
      <w:bookmarkEnd w:id="26"/>
      <w:r>
        <w:t>Baden, Kelly, and Jennifer Driver. 2023. “</w:t>
      </w:r>
      <w:hyperlink r:id="rId53">
        <w:r>
          <w:t>The State Abortion Policy Landscape One Year Post-Roe</w:t>
        </w:r>
      </w:hyperlink>
      <w:r>
        <w:t>.”</w:t>
      </w:r>
    </w:p>
    <w:p w14:paraId="0FC23D4B" w14:textId="77777777" w:rsidR="009473B3" w:rsidRDefault="00000000">
      <w:bookmarkStart w:id="28" w:name="ref-barbee2022"/>
      <w:bookmarkEnd w:id="27"/>
      <w:r>
        <w:t xml:space="preserve">Barbee, Harry, Cameron Deal, and Gilbert Gonzales. 2022. “Anti-Transgender Legislationa Public Health Concern for Transgender Youth.” </w:t>
      </w:r>
      <w:r>
        <w:rPr>
          <w:i/>
          <w:iCs/>
        </w:rPr>
        <w:t>JAMA Pediatrics</w:t>
      </w:r>
      <w:r>
        <w:t xml:space="preserve"> 176(2):125–26. doi: </w:t>
      </w:r>
      <w:hyperlink r:id="rId54">
        <w:r>
          <w:t>10.1001/jamapediatrics.2021.4483</w:t>
        </w:r>
      </w:hyperlink>
      <w:r>
        <w:t>.</w:t>
      </w:r>
    </w:p>
    <w:p w14:paraId="29B632E6" w14:textId="77777777" w:rsidR="009473B3" w:rsidRDefault="00000000">
      <w:bookmarkStart w:id="29" w:name="ref-bernardi2023"/>
      <w:bookmarkEnd w:id="28"/>
      <w:r>
        <w:t xml:space="preserve">Bernardi, Luca, Mikko Mattila, Achillefs Papageorgiou, and Lauri Rapeli. 2023. “Down But Not Yet Out: Depression, Political Efficacy, and Voting.” </w:t>
      </w:r>
      <w:r>
        <w:rPr>
          <w:i/>
          <w:iCs/>
        </w:rPr>
        <w:t>Political Psychology</w:t>
      </w:r>
      <w:r>
        <w:t xml:space="preserve"> 44(2):217–33. doi: </w:t>
      </w:r>
      <w:hyperlink r:id="rId55">
        <w:r>
          <w:t>10.1111/pops.12837</w:t>
        </w:r>
      </w:hyperlink>
      <w:r>
        <w:t>.</w:t>
      </w:r>
    </w:p>
    <w:p w14:paraId="4DCB746D" w14:textId="77777777" w:rsidR="009473B3" w:rsidRDefault="00000000">
      <w:bookmarkStart w:id="30" w:name="ref-clarke2021"/>
      <w:bookmarkEnd w:id="29"/>
      <w:r>
        <w:t xml:space="preserve">Clarke, Damian, and Hanna Mühlrad. 2021. “Abortion Laws and Women’s Health.” </w:t>
      </w:r>
      <w:r>
        <w:rPr>
          <w:i/>
          <w:iCs/>
        </w:rPr>
        <w:t>Journal of Health Economics</w:t>
      </w:r>
      <w:r>
        <w:t xml:space="preserve"> 76:102413. doi: </w:t>
      </w:r>
      <w:hyperlink r:id="rId56">
        <w:r>
          <w:t>10.1016/j.jhealeco.2020.102413</w:t>
        </w:r>
      </w:hyperlink>
      <w:r>
        <w:t>.</w:t>
      </w:r>
    </w:p>
    <w:p w14:paraId="113E4F65" w14:textId="77777777" w:rsidR="009473B3" w:rsidRDefault="00000000">
      <w:bookmarkStart w:id="31" w:name="ref-funakoshi2023"/>
      <w:bookmarkEnd w:id="30"/>
      <w:r>
        <w:t>Funakoshi, Minami, and Disha Raychaudhuri. 2023. “</w:t>
      </w:r>
      <w:hyperlink r:id="rId57">
        <w:r>
          <w:t>The Rise of Anti-Trans Bills in the US</w:t>
        </w:r>
      </w:hyperlink>
      <w:r>
        <w:t xml:space="preserve">.” </w:t>
      </w:r>
      <w:r>
        <w:rPr>
          <w:i/>
          <w:iCs/>
        </w:rPr>
        <w:t>Reuters</w:t>
      </w:r>
      <w:r>
        <w:t>.</w:t>
      </w:r>
    </w:p>
    <w:p w14:paraId="1E788858" w14:textId="77777777" w:rsidR="009473B3" w:rsidRDefault="00000000">
      <w:bookmarkStart w:id="32" w:name="ref-garcia2021"/>
      <w:bookmarkEnd w:id="31"/>
      <w:r>
        <w:t xml:space="preserve">Garcia, Marc A., Patricia A. Homan, Catherine García, and Tyson H. Brown. 2021. “The Color of COVID-19: Structural Racism and the Disproportionate Impact of the Pandemic on Older Black and Latinx Adults.” </w:t>
      </w:r>
      <w:r>
        <w:rPr>
          <w:i/>
          <w:iCs/>
        </w:rPr>
        <w:t>The Journals of Gerontology: Series B</w:t>
      </w:r>
      <w:r>
        <w:t xml:space="preserve"> 76(3):e75–80. doi: </w:t>
      </w:r>
      <w:hyperlink r:id="rId58">
        <w:r>
          <w:t>10.1093/geronb/gbaa114</w:t>
        </w:r>
      </w:hyperlink>
      <w:r>
        <w:t>.</w:t>
      </w:r>
    </w:p>
    <w:p w14:paraId="111369B8" w14:textId="77777777" w:rsidR="009473B3" w:rsidRDefault="00000000">
      <w:bookmarkStart w:id="33" w:name="ref-hatzenbuehler2014"/>
      <w:bookmarkEnd w:id="32"/>
      <w:r>
        <w:t xml:space="preserve">Hatzenbuehler, Mark L. 2014. “Structural Stigma and the Health of Lesbian, Gay, and Bisexual Populations.” </w:t>
      </w:r>
      <w:r>
        <w:rPr>
          <w:i/>
          <w:iCs/>
        </w:rPr>
        <w:t>Current Directions in Psychological Science</w:t>
      </w:r>
      <w:r>
        <w:t xml:space="preserve"> 23(2):127–32. doi: </w:t>
      </w:r>
      <w:hyperlink r:id="rId59">
        <w:r>
          <w:t>10.1177/0963721414523775</w:t>
        </w:r>
      </w:hyperlink>
      <w:r>
        <w:t>.</w:t>
      </w:r>
    </w:p>
    <w:p w14:paraId="30CB71D7" w14:textId="77777777" w:rsidR="009473B3" w:rsidRDefault="00000000">
      <w:bookmarkStart w:id="34" w:name="ref-hatzenbuehler2016"/>
      <w:bookmarkEnd w:id="33"/>
      <w:r>
        <w:t xml:space="preserve">Hatzenbuehler, Mark L. 2016. “Structural Stigma: Research Evidence and Implications for Psychological Science.” </w:t>
      </w:r>
      <w:r>
        <w:rPr>
          <w:i/>
          <w:iCs/>
        </w:rPr>
        <w:t>American Psychologist</w:t>
      </w:r>
      <w:r>
        <w:t xml:space="preserve"> 71(8):742–51. doi: </w:t>
      </w:r>
      <w:hyperlink r:id="rId60">
        <w:r>
          <w:t>10.1037/amp0000068</w:t>
        </w:r>
      </w:hyperlink>
      <w:r>
        <w:t>.</w:t>
      </w:r>
    </w:p>
    <w:p w14:paraId="07DB0F37" w14:textId="77777777" w:rsidR="009473B3" w:rsidRDefault="00000000">
      <w:bookmarkStart w:id="35" w:name="ref-hing2018"/>
      <w:bookmarkEnd w:id="34"/>
      <w:r>
        <w:t xml:space="preserve">HIng, Anna K. 2018. “The Right to Vote, The Right to Health: Voter Suppression as a Determinant of Racial Health Disparities.” </w:t>
      </w:r>
      <w:r>
        <w:rPr>
          <w:i/>
          <w:iCs/>
        </w:rPr>
        <w:t>Journal of Health Disparities Research and Practice</w:t>
      </w:r>
      <w:r>
        <w:t xml:space="preserve"> 12(6).</w:t>
      </w:r>
    </w:p>
    <w:p w14:paraId="79E356BE" w14:textId="77777777" w:rsidR="009473B3" w:rsidRDefault="00000000">
      <w:bookmarkStart w:id="36" w:name="ref-hing2024"/>
      <w:bookmarkEnd w:id="35"/>
      <w:r>
        <w:t xml:space="preserve">Hing, Anna K. 2024. “Building Power, Advancing Health Equity: Insights from Voting and Beyond.” </w:t>
      </w:r>
      <w:r>
        <w:rPr>
          <w:i/>
          <w:iCs/>
        </w:rPr>
        <w:t>American Journal of Public Health</w:t>
      </w:r>
      <w:r>
        <w:t xml:space="preserve"> e1–3. doi: </w:t>
      </w:r>
      <w:hyperlink r:id="rId61">
        <w:r>
          <w:t>10.2105/AJPH.2024.307578</w:t>
        </w:r>
      </w:hyperlink>
      <w:r>
        <w:t>.</w:t>
      </w:r>
    </w:p>
    <w:p w14:paraId="2183A5D8" w14:textId="77777777" w:rsidR="009473B3" w:rsidRDefault="00000000">
      <w:bookmarkStart w:id="37" w:name="ref-homan2022"/>
      <w:bookmarkEnd w:id="36"/>
      <w:r>
        <w:lastRenderedPageBreak/>
        <w:t xml:space="preserve">Homan, Patricia A., and Tyson H. Brown. 2022. “Sick and Tired of Being Excluded: Structural Racism in Disenfranchisement as a Threat to Population Health Equity.” </w:t>
      </w:r>
      <w:r>
        <w:rPr>
          <w:i/>
          <w:iCs/>
        </w:rPr>
        <w:t>Health Affairs</w:t>
      </w:r>
      <w:r>
        <w:t xml:space="preserve"> 41(2):219–27. doi: </w:t>
      </w:r>
      <w:hyperlink r:id="rId62">
        <w:r>
          <w:t>10.1377/hlthaff.2021.01414</w:t>
        </w:r>
      </w:hyperlink>
      <w:r>
        <w:t>.</w:t>
      </w:r>
    </w:p>
    <w:p w14:paraId="527E1BD2" w14:textId="77777777" w:rsidR="009473B3" w:rsidRDefault="00000000">
      <w:bookmarkStart w:id="38" w:name="ref-horne2022"/>
      <w:bookmarkEnd w:id="37"/>
      <w:r>
        <w:t xml:space="preserve">Horne, Sharon G., Mallaigh McGinley, Nedim Yel, and Meredith R. Maroney. 2022. “The Stench of Bathroom Bills and Anti-Transgender Legislation: Anxiety and Depression Among Transgender, Nonbinary, and Cisgender LGBQ People During a State Referendum.” </w:t>
      </w:r>
      <w:r>
        <w:rPr>
          <w:i/>
          <w:iCs/>
        </w:rPr>
        <w:t>Journal of Counseling Psychology</w:t>
      </w:r>
      <w:r>
        <w:t xml:space="preserve"> 69(1):1–13. doi: </w:t>
      </w:r>
      <w:hyperlink r:id="rId63">
        <w:r>
          <w:t>10.1037/cou0000558</w:t>
        </w:r>
      </w:hyperlink>
      <w:r>
        <w:t>.</w:t>
      </w:r>
    </w:p>
    <w:p w14:paraId="4AFE24A6" w14:textId="77777777" w:rsidR="009473B3" w:rsidRDefault="00000000">
      <w:bookmarkStart w:id="39" w:name="ref-hull2019"/>
      <w:bookmarkEnd w:id="38"/>
      <w:r>
        <w:t xml:space="preserve">Hull, Kathleen E., and Timothy A. Ortyl. 2019. “Conventional and Cutting-Edge: Definitions of Family in LGBT Communities.” </w:t>
      </w:r>
      <w:r>
        <w:rPr>
          <w:i/>
          <w:iCs/>
        </w:rPr>
        <w:t>Sexuality Research and Social Policy</w:t>
      </w:r>
      <w:r>
        <w:t xml:space="preserve"> 16(1):31–43. doi: </w:t>
      </w:r>
      <w:hyperlink r:id="rId64">
        <w:r>
          <w:t>10.1007/s13178-018-0324-2</w:t>
        </w:r>
      </w:hyperlink>
      <w:r>
        <w:t>.</w:t>
      </w:r>
    </w:p>
    <w:p w14:paraId="12D0DA96" w14:textId="77777777" w:rsidR="009473B3" w:rsidRDefault="00000000">
      <w:bookmarkStart w:id="40" w:name="ref-jiménez2008"/>
      <w:bookmarkEnd w:id="39"/>
      <w:r>
        <w:t xml:space="preserve">Jiménez, Tomás R. 2008. “Mexican Immigrant Replenishment and the Continuing Significance of Ethnicity and Race.” </w:t>
      </w:r>
      <w:r>
        <w:rPr>
          <w:i/>
          <w:iCs/>
        </w:rPr>
        <w:t>American Journal of Sociology</w:t>
      </w:r>
      <w:r>
        <w:t xml:space="preserve"> 113(6):1527–67. doi: </w:t>
      </w:r>
      <w:hyperlink r:id="rId65">
        <w:r>
          <w:t>10.1086/587151</w:t>
        </w:r>
      </w:hyperlink>
      <w:r>
        <w:t>.</w:t>
      </w:r>
    </w:p>
    <w:p w14:paraId="715E5DA4" w14:textId="77777777" w:rsidR="009473B3" w:rsidRDefault="00000000">
      <w:bookmarkStart w:id="41" w:name="ref-korteweg2013"/>
      <w:bookmarkEnd w:id="40"/>
      <w:r>
        <w:t xml:space="preserve">Korteweg, Anna C. 2013. “The ‘Headrag Tax’: Impossible Laws and Their Symbolic and Material Consequences.” </w:t>
      </w:r>
      <w:r>
        <w:rPr>
          <w:i/>
          <w:iCs/>
        </w:rPr>
        <w:t>Social Identities</w:t>
      </w:r>
      <w:r>
        <w:t xml:space="preserve"> 19(6):759–74. doi: </w:t>
      </w:r>
      <w:hyperlink r:id="rId66">
        <w:r>
          <w:t>10.1080/13504630.2013.842674</w:t>
        </w:r>
      </w:hyperlink>
      <w:r>
        <w:t>.</w:t>
      </w:r>
    </w:p>
    <w:p w14:paraId="4C3B62C6" w14:textId="77777777" w:rsidR="009473B3" w:rsidRDefault="00000000">
      <w:bookmarkStart w:id="42" w:name="ref-levin2022"/>
      <w:bookmarkEnd w:id="41"/>
      <w:r>
        <w:t>Levin, Sam. 2022. “</w:t>
      </w:r>
      <w:hyperlink r:id="rId67">
        <w:r>
          <w:t>More Than 50</w:t>
        </w:r>
      </w:hyperlink>
      <w:r>
        <w:t xml:space="preserve">.” </w:t>
      </w:r>
      <w:r>
        <w:rPr>
          <w:i/>
          <w:iCs/>
        </w:rPr>
        <w:t>The Guardian</w:t>
      </w:r>
      <w:r>
        <w:t>.</w:t>
      </w:r>
    </w:p>
    <w:p w14:paraId="1D492C0F" w14:textId="77777777" w:rsidR="009473B3" w:rsidRDefault="00000000">
      <w:bookmarkStart w:id="43" w:name="ref-li2018"/>
      <w:bookmarkEnd w:id="42"/>
      <w:r>
        <w:t xml:space="preserve">Li, Quan, Michael J. Pomante, and Scot Schraufnagel. 2018. “Cost of Voting in the American States.” </w:t>
      </w:r>
      <w:r>
        <w:rPr>
          <w:i/>
          <w:iCs/>
        </w:rPr>
        <w:t>Election Law Journal: Rules, Politics, and Policy</w:t>
      </w:r>
      <w:r>
        <w:t xml:space="preserve"> 17(3):234–47. doi: </w:t>
      </w:r>
      <w:hyperlink r:id="rId68">
        <w:r>
          <w:t>10.1089/elj.2017.0478</w:t>
        </w:r>
      </w:hyperlink>
      <w:r>
        <w:t>.</w:t>
      </w:r>
    </w:p>
    <w:p w14:paraId="1B2C0508" w14:textId="77777777" w:rsidR="009473B3" w:rsidRDefault="00000000">
      <w:bookmarkStart w:id="44" w:name="ref-marmot2004"/>
      <w:bookmarkEnd w:id="43"/>
      <w:r>
        <w:t xml:space="preserve">Marmot, Michael. 2004. “Status Syndrome.” </w:t>
      </w:r>
      <w:r>
        <w:rPr>
          <w:i/>
          <w:iCs/>
        </w:rPr>
        <w:t>Significance</w:t>
      </w:r>
      <w:r>
        <w:t xml:space="preserve"> 1(4):150–54. doi: </w:t>
      </w:r>
      <w:hyperlink r:id="rId69">
        <w:r>
          <w:t>10.1111/j.1740-9713.2004.00058.x</w:t>
        </w:r>
      </w:hyperlink>
      <w:r>
        <w:t>.</w:t>
      </w:r>
    </w:p>
    <w:p w14:paraId="02C9C59F" w14:textId="77777777" w:rsidR="009473B3" w:rsidRDefault="00000000">
      <w:bookmarkStart w:id="45" w:name="ref-marmot2015"/>
      <w:bookmarkEnd w:id="44"/>
      <w:r>
        <w:t xml:space="preserve">Marmot, Michael. 2015. “The Health Gap: The Challenge of an Unequal World.” </w:t>
      </w:r>
      <w:r>
        <w:rPr>
          <w:i/>
          <w:iCs/>
        </w:rPr>
        <w:t>The Lancet</w:t>
      </w:r>
      <w:r>
        <w:t xml:space="preserve"> 386(10011):2442–44. doi: </w:t>
      </w:r>
      <w:hyperlink r:id="rId70">
        <w:r>
          <w:t>10.1016/S0140-6736(15)00150-6</w:t>
        </w:r>
      </w:hyperlink>
      <w:r>
        <w:t>.</w:t>
      </w:r>
    </w:p>
    <w:p w14:paraId="11AF23B4" w14:textId="77777777" w:rsidR="009473B3" w:rsidRDefault="00000000">
      <w:bookmarkStart w:id="46" w:name="ref-mccann2023"/>
      <w:bookmarkEnd w:id="45"/>
      <w:r>
        <w:t>McCann, Allison, and Amy Schoenfeld Walker. 2023. “</w:t>
      </w:r>
      <w:hyperlink r:id="rId71">
        <w:r>
          <w:t>One Year, 61 Clinics: How Dobbs Changed the Abortion Landscape</w:t>
        </w:r>
      </w:hyperlink>
      <w:r>
        <w:t xml:space="preserve">.” </w:t>
      </w:r>
      <w:r>
        <w:rPr>
          <w:i/>
          <w:iCs/>
        </w:rPr>
        <w:t>The New York Times</w:t>
      </w:r>
      <w:r>
        <w:t>.</w:t>
      </w:r>
    </w:p>
    <w:p w14:paraId="06F97A0D" w14:textId="77777777" w:rsidR="009473B3" w:rsidRDefault="00000000">
      <w:bookmarkStart w:id="47" w:name="ref-naf2023"/>
      <w:bookmarkEnd w:id="46"/>
      <w:r>
        <w:t>NAF. 2023. “2022 Violence &amp; Disruption Statistics.”</w:t>
      </w:r>
    </w:p>
    <w:p w14:paraId="2BCBFE0B" w14:textId="77777777" w:rsidR="009473B3" w:rsidRDefault="00000000">
      <w:bookmarkStart w:id="48" w:name="ref-nagy2021"/>
      <w:bookmarkEnd w:id="47"/>
      <w:r>
        <w:t xml:space="preserve">Nagy, Beáta, and Adrien Rigó. 2021. “The Psychosocial Aspects of Induced Abortion: Men in the Focus.” </w:t>
      </w:r>
      <w:r>
        <w:rPr>
          <w:i/>
          <w:iCs/>
        </w:rPr>
        <w:t>Men and Masculinities</w:t>
      </w:r>
      <w:r>
        <w:t xml:space="preserve"> 24(4):671–89. doi: </w:t>
      </w:r>
      <w:hyperlink r:id="rId72">
        <w:r>
          <w:t>10.1177/1097184X19856399</w:t>
        </w:r>
      </w:hyperlink>
      <w:r>
        <w:t>.</w:t>
      </w:r>
    </w:p>
    <w:p w14:paraId="4BDDC41D" w14:textId="77777777" w:rsidR="009473B3" w:rsidRDefault="00000000">
      <w:bookmarkStart w:id="49" w:name="ref-nomaguchi2017"/>
      <w:bookmarkEnd w:id="48"/>
      <w:r>
        <w:t>Nomaguchi, Kei, and Melissa A. Milkie. 2017. “</w:t>
      </w:r>
      <w:hyperlink r:id="rId73">
        <w:r>
          <w:t>Sociological Perspectives on Parenting Stress: How Social Structure and Culture Shape Parental Strain and the Well-Being of Parents and Children</w:t>
        </w:r>
      </w:hyperlink>
      <w:r>
        <w:t>.” Pp. 47–73 in, edited by K. Deater-Deckard and R. Panneton. Cham: Springer International Publishing.</w:t>
      </w:r>
    </w:p>
    <w:p w14:paraId="15B95764" w14:textId="77777777" w:rsidR="009473B3" w:rsidRDefault="00000000">
      <w:bookmarkStart w:id="50" w:name="ref-ofosu2019"/>
      <w:bookmarkEnd w:id="49"/>
      <w:r>
        <w:t xml:space="preserve">Ofosu, George Kwaku. 2019. “Do Fairer Elections Increase the Responsiveness of Politicians?” </w:t>
      </w:r>
      <w:r>
        <w:rPr>
          <w:i/>
          <w:iCs/>
        </w:rPr>
        <w:t>American Political Science Review</w:t>
      </w:r>
      <w:r>
        <w:t xml:space="preserve"> 113(4):963–79. doi: </w:t>
      </w:r>
      <w:hyperlink r:id="rId74">
        <w:r>
          <w:t>10.1017/S0003055419000479</w:t>
        </w:r>
      </w:hyperlink>
      <w:r>
        <w:t>.</w:t>
      </w:r>
    </w:p>
    <w:p w14:paraId="025A5C6B" w14:textId="77777777" w:rsidR="009473B3" w:rsidRDefault="00000000">
      <w:bookmarkStart w:id="51" w:name="ref-phelan2015"/>
      <w:bookmarkEnd w:id="50"/>
      <w:r>
        <w:t xml:space="preserve">Phelan, Jo C., and Bruce G. Link. 2015. “Is Racism a Fundamental Cause of Inequalities in Health?” </w:t>
      </w:r>
      <w:r>
        <w:rPr>
          <w:i/>
          <w:iCs/>
        </w:rPr>
        <w:t>Annual Review of Sociology</w:t>
      </w:r>
      <w:r>
        <w:t xml:space="preserve"> 41(1):311–30. doi: </w:t>
      </w:r>
      <w:hyperlink r:id="rId75">
        <w:r>
          <w:t>10.1146/annurev-soc-073014-112305</w:t>
        </w:r>
      </w:hyperlink>
      <w:r>
        <w:t>.</w:t>
      </w:r>
    </w:p>
    <w:p w14:paraId="5F98141D" w14:textId="77777777" w:rsidR="009473B3" w:rsidRDefault="00000000">
      <w:bookmarkStart w:id="52" w:name="ref-pickett2015"/>
      <w:bookmarkEnd w:id="51"/>
      <w:r>
        <w:t xml:space="preserve">Pickett, Kate E., and Richard G. Wilkinson. 2015. “Income Inequality and Health: A Causal Review.” </w:t>
      </w:r>
      <w:r>
        <w:rPr>
          <w:i/>
          <w:iCs/>
        </w:rPr>
        <w:t>Social Science &amp; Medicine</w:t>
      </w:r>
      <w:r>
        <w:t xml:space="preserve"> 128:316–26. doi: </w:t>
      </w:r>
      <w:hyperlink r:id="rId76">
        <w:r>
          <w:t>10.1016/j.socscimed.2014.12.031</w:t>
        </w:r>
      </w:hyperlink>
      <w:r>
        <w:t>.</w:t>
      </w:r>
    </w:p>
    <w:p w14:paraId="684892EC" w14:textId="77777777" w:rsidR="009473B3" w:rsidRDefault="00000000">
      <w:bookmarkStart w:id="53" w:name="ref-pomeranz2024"/>
      <w:bookmarkEnd w:id="52"/>
      <w:r>
        <w:t xml:space="preserve">Pomeranz, Jennifer L. 2024. “The Entrenched Erosion of Meaningful Participation in US Elections.” </w:t>
      </w:r>
      <w:r>
        <w:rPr>
          <w:i/>
          <w:iCs/>
        </w:rPr>
        <w:t>American Journal of Public Health</w:t>
      </w:r>
      <w:r>
        <w:t xml:space="preserve"> 114(3):294–96. doi: </w:t>
      </w:r>
      <w:hyperlink r:id="rId77">
        <w:r>
          <w:t>10.2105/AJPH.2023.307567</w:t>
        </w:r>
      </w:hyperlink>
      <w:r>
        <w:t>.</w:t>
      </w:r>
    </w:p>
    <w:p w14:paraId="43395847" w14:textId="77777777" w:rsidR="009473B3" w:rsidRDefault="00000000">
      <w:bookmarkStart w:id="54" w:name="ref-rosenbaum2017"/>
      <w:bookmarkEnd w:id="53"/>
      <w:r>
        <w:lastRenderedPageBreak/>
        <w:t xml:space="preserve">Rosenbaum, Sara. 2017. “Can Community Health Centers Fill The Health Care Void Left By Defunding Planned Parenthood?” </w:t>
      </w:r>
      <w:r>
        <w:rPr>
          <w:i/>
          <w:iCs/>
        </w:rPr>
        <w:t>Health Affairs Forefront</w:t>
      </w:r>
      <w:r>
        <w:t xml:space="preserve">. doi: </w:t>
      </w:r>
      <w:hyperlink r:id="rId78">
        <w:r>
          <w:t>10.1377/forefront.20170127.058486</w:t>
        </w:r>
      </w:hyperlink>
      <w:r>
        <w:t>.</w:t>
      </w:r>
    </w:p>
    <w:p w14:paraId="09FC6EE4" w14:textId="77777777" w:rsidR="009473B3" w:rsidRDefault="00000000">
      <w:bookmarkStart w:id="55" w:name="ref-rugeley2009"/>
      <w:bookmarkEnd w:id="54"/>
      <w:r>
        <w:t xml:space="preserve">Rugeley, Cynthia, and Robert A. Jackson. 2009. “Getting on the Rolls: Analyzing the Effects of Lowered Barriers on Voter Registration.” </w:t>
      </w:r>
      <w:r>
        <w:rPr>
          <w:i/>
          <w:iCs/>
        </w:rPr>
        <w:t>State Politics &amp; Policy Quarterly</w:t>
      </w:r>
      <w:r>
        <w:t xml:space="preserve"> 9(1):56–78. doi: </w:t>
      </w:r>
      <w:hyperlink r:id="rId79">
        <w:r>
          <w:t>10.1177/153244000900900103</w:t>
        </w:r>
      </w:hyperlink>
      <w:r>
        <w:t>.</w:t>
      </w:r>
    </w:p>
    <w:p w14:paraId="3436E52A" w14:textId="77777777" w:rsidR="009473B3" w:rsidRDefault="00000000">
      <w:bookmarkStart w:id="56" w:name="ref-schraufnagel2022"/>
      <w:bookmarkEnd w:id="55"/>
      <w:r>
        <w:t xml:space="preserve">Schraufnagel, Scot, Michael J. Pomante, and Quan Li. 2022. “Cost of Voting in the American States: 2022*.” </w:t>
      </w:r>
      <w:r>
        <w:rPr>
          <w:i/>
          <w:iCs/>
        </w:rPr>
        <w:t>Election Law Journal: Rules, Politics, and Policy</w:t>
      </w:r>
      <w:r>
        <w:t xml:space="preserve"> 21(3):220–28. doi: </w:t>
      </w:r>
      <w:hyperlink r:id="rId80">
        <w:r>
          <w:t>10.1089/elj.2022.0041</w:t>
        </w:r>
      </w:hyperlink>
      <w:r>
        <w:t>.</w:t>
      </w:r>
    </w:p>
    <w:p w14:paraId="390248E9" w14:textId="77777777" w:rsidR="009473B3" w:rsidRDefault="00000000">
      <w:bookmarkStart w:id="57" w:name="ref-shineman2020"/>
      <w:bookmarkEnd w:id="56"/>
      <w:r>
        <w:t xml:space="preserve">Shineman, Victoria. 2020. “Restoring Voting Rights: Evidence That Reversing Felony Disenfranchisement Increases Political Efficacy.” </w:t>
      </w:r>
      <w:r>
        <w:rPr>
          <w:i/>
          <w:iCs/>
        </w:rPr>
        <w:t>Policy Studies</w:t>
      </w:r>
      <w:r>
        <w:t xml:space="preserve"> 41(2-3):131–50. doi: </w:t>
      </w:r>
      <w:hyperlink r:id="rId81">
        <w:r>
          <w:t>10.1080/01442872.2019.1694655</w:t>
        </w:r>
      </w:hyperlink>
      <w:r>
        <w:t>.</w:t>
      </w:r>
    </w:p>
    <w:p w14:paraId="27B3E584" w14:textId="77777777" w:rsidR="009473B3" w:rsidRDefault="00000000">
      <w:bookmarkStart w:id="58" w:name="ref-tebbe2022"/>
      <w:bookmarkEnd w:id="57"/>
      <w:r>
        <w:t xml:space="preserve">Tebbe, Elliot A., Melissa Simone, Emily Wilson, and Madeline Hunsicker. 2022. “A Dangerous Visibility: Moderating Effects of Antitrans Legislative Efforts on Trans and Gender-Diverse Mental Health.” </w:t>
      </w:r>
      <w:r>
        <w:rPr>
          <w:i/>
          <w:iCs/>
        </w:rPr>
        <w:t>Psychology of Sexual Orientation and Gender Diversity</w:t>
      </w:r>
      <w:r>
        <w:t xml:space="preserve"> 9(3):259–71. doi: </w:t>
      </w:r>
      <w:hyperlink r:id="rId82">
        <w:r>
          <w:t>10.1037/sgd0000481</w:t>
        </w:r>
      </w:hyperlink>
      <w:r>
        <w:t>.</w:t>
      </w:r>
    </w:p>
    <w:p w14:paraId="3B78CEBF" w14:textId="77777777" w:rsidR="009473B3" w:rsidRDefault="00000000">
      <w:bookmarkStart w:id="59" w:name="ref-thornburg2024"/>
      <w:bookmarkEnd w:id="58"/>
      <w:r>
        <w:t xml:space="preserve">Thornburg, Benjamin, Alene Kennedy-Hendricks, Joanne D. Rosen, and Matthew D. Eisenberg. 2024. “Anxiety and Depression Symptoms After the Dobbs Abortion Decision.” </w:t>
      </w:r>
      <w:r>
        <w:rPr>
          <w:i/>
          <w:iCs/>
        </w:rPr>
        <w:t>JAMA</w:t>
      </w:r>
      <w:r>
        <w:t xml:space="preserve"> 331(4):294–301. doi: </w:t>
      </w:r>
      <w:hyperlink r:id="rId83">
        <w:r>
          <w:t>10.1001/jama.2023.25599</w:t>
        </w:r>
      </w:hyperlink>
      <w:r>
        <w:t>.</w:t>
      </w:r>
    </w:p>
    <w:p w14:paraId="24A04E67" w14:textId="77777777" w:rsidR="009473B3" w:rsidRDefault="00000000">
      <w:bookmarkStart w:id="60" w:name="ref-torche2021"/>
      <w:bookmarkEnd w:id="59"/>
      <w:r>
        <w:t xml:space="preserve">Torche, Florencia, and Tamkinat Rauf. 2021a. “The Political Context and Infant Health in the United States.” </w:t>
      </w:r>
      <w:r>
        <w:rPr>
          <w:i/>
          <w:iCs/>
        </w:rPr>
        <w:t>American Sociological Review</w:t>
      </w:r>
      <w:r>
        <w:t xml:space="preserve"> 86(3):377–405. doi: </w:t>
      </w:r>
      <w:hyperlink r:id="rId84">
        <w:r>
          <w:t>10.1177/00031224211000710</w:t>
        </w:r>
      </w:hyperlink>
      <w:r>
        <w:t>.</w:t>
      </w:r>
    </w:p>
    <w:p w14:paraId="34EC972A" w14:textId="77777777" w:rsidR="009473B3" w:rsidRDefault="00000000">
      <w:bookmarkStart w:id="61" w:name="ref-torche2021a"/>
      <w:bookmarkEnd w:id="60"/>
      <w:r>
        <w:t xml:space="preserve">Torche, Florencia, and Tamkinat Rauf. 2021b. “The Transition to Fatherhood and the Health of Men.” </w:t>
      </w:r>
      <w:r>
        <w:rPr>
          <w:i/>
          <w:iCs/>
        </w:rPr>
        <w:t>Journal of Marriage and Family</w:t>
      </w:r>
      <w:r>
        <w:t xml:space="preserve"> 83(2):446–65. doi: </w:t>
      </w:r>
      <w:hyperlink r:id="rId85">
        <w:r>
          <w:t>10.1111/jomf.12732</w:t>
        </w:r>
      </w:hyperlink>
      <w:r>
        <w:t>.</w:t>
      </w:r>
    </w:p>
    <w:p w14:paraId="7370069D" w14:textId="77777777" w:rsidR="009473B3" w:rsidRDefault="00000000">
      <w:bookmarkStart w:id="62" w:name="ref-tran2023"/>
      <w:bookmarkEnd w:id="61"/>
      <w:r>
        <w:t xml:space="preserve">Tran, Nguyen K., Kellan E. Baker, Elle Lett, and Ayden I. Scheim. 2023. “State-Level Heterogeneity in Associations Between Structural Stigma and Individual Health Care Access: A Multilevel Analysis of Transgender Adults in the United States.” </w:t>
      </w:r>
      <w:r>
        <w:rPr>
          <w:i/>
          <w:iCs/>
        </w:rPr>
        <w:t>Journal of Health Services Research &amp; Policy</w:t>
      </w:r>
      <w:r>
        <w:t xml:space="preserve"> 28(2):109–18. doi: </w:t>
      </w:r>
      <w:hyperlink r:id="rId86">
        <w:r>
          <w:t>10.1177/13558196221123413</w:t>
        </w:r>
      </w:hyperlink>
      <w:r>
        <w:t>.</w:t>
      </w:r>
    </w:p>
    <w:p w14:paraId="2BBAA581" w14:textId="77777777" w:rsidR="009473B3" w:rsidRDefault="00000000">
      <w:bookmarkStart w:id="63" w:name="ref-yagoda2019"/>
      <w:bookmarkEnd w:id="62"/>
      <w:r>
        <w:t xml:space="preserve">Yagoda, Nicholas. 2019. “Addressing Health Disparities Through Voter Engagement.” </w:t>
      </w:r>
      <w:r>
        <w:rPr>
          <w:i/>
          <w:iCs/>
        </w:rPr>
        <w:t>The Annals of Family Medicine</w:t>
      </w:r>
      <w:r>
        <w:t xml:space="preserve"> 17(5):459–61. doi: </w:t>
      </w:r>
      <w:hyperlink r:id="rId87">
        <w:r>
          <w:t>10.1370/afm.2441</w:t>
        </w:r>
      </w:hyperlink>
      <w:r>
        <w:t>.</w:t>
      </w:r>
    </w:p>
    <w:p w14:paraId="326C1211" w14:textId="77777777" w:rsidR="009473B3" w:rsidRDefault="00000000">
      <w:bookmarkStart w:id="64" w:name="ref-yakubovich2018"/>
      <w:bookmarkEnd w:id="63"/>
      <w:r>
        <w:t xml:space="preserve">Yakubovich, Alexa R., Heidi Stöckl, Joseph Murray, G. J. Melendez-Torres, Janina I. Steinert, Calla E. Y. Glavin, and David K. Humphreys. 2018. “Risk and Protective Factors for Intimate Partner Violence Against Women: Systematic Review and Meta-Analyses of Prospectivelongitudinal Studies.” </w:t>
      </w:r>
      <w:r>
        <w:rPr>
          <w:i/>
          <w:iCs/>
        </w:rPr>
        <w:t>American Journal of Public Health</w:t>
      </w:r>
      <w:r>
        <w:t xml:space="preserve"> 108(7):e1–11. doi: </w:t>
      </w:r>
      <w:hyperlink r:id="rId88">
        <w:r>
          <w:t>10.2105/AJPH.2018.304428</w:t>
        </w:r>
      </w:hyperlink>
      <w:r>
        <w:t>.</w:t>
      </w:r>
    </w:p>
    <w:p w14:paraId="76FDE599" w14:textId="77777777" w:rsidR="009473B3" w:rsidRDefault="00000000">
      <w:bookmarkStart w:id="65" w:name="ref-zandberg2023"/>
      <w:bookmarkEnd w:id="64"/>
      <w:r>
        <w:t xml:space="preserve">Zandberg, Jonathan, Rebecca Waller, Elina Visoki, and Ran Barzilay. 2023. “Association Between State-Level Access to Reproductive Care and Suicide Rates Among Women of Reproductive Age in the United States.” </w:t>
      </w:r>
      <w:r>
        <w:rPr>
          <w:i/>
          <w:iCs/>
        </w:rPr>
        <w:t>JAMA Psychiatry</w:t>
      </w:r>
      <w:r>
        <w:t xml:space="preserve"> 80(2):127–34. doi: </w:t>
      </w:r>
      <w:hyperlink r:id="rId89">
        <w:r>
          <w:t>10.1001/jamapsychiatry.2022.4394</w:t>
        </w:r>
      </w:hyperlink>
      <w:r>
        <w:t>.</w:t>
      </w:r>
    </w:p>
    <w:p w14:paraId="055E0D1B" w14:textId="77777777" w:rsidR="009473B3" w:rsidRDefault="00000000">
      <w:bookmarkStart w:id="66" w:name="ref-zubizarreta2024"/>
      <w:bookmarkEnd w:id="65"/>
      <w:r>
        <w:lastRenderedPageBreak/>
        <w:t xml:space="preserve">Zubizarreta, Dougie, Mai-Han Trinh, and Sari L. Reisner. 2024. “Quantitative Approaches to Measuring Structural Cisgenderism.” </w:t>
      </w:r>
      <w:r>
        <w:rPr>
          <w:i/>
          <w:iCs/>
        </w:rPr>
        <w:t>Social Science &amp; Medicine</w:t>
      </w:r>
      <w:r>
        <w:t xml:space="preserve"> 340:116437. doi: </w:t>
      </w:r>
      <w:hyperlink r:id="rId90">
        <w:r>
          <w:t>10.1016/j.socscimed.2023.116437</w:t>
        </w:r>
      </w:hyperlink>
      <w:r>
        <w:t>.</w:t>
      </w:r>
      <w:bookmarkEnd w:id="21"/>
      <w:bookmarkEnd w:id="22"/>
      <w:bookmarkEnd w:id="66"/>
    </w:p>
    <w:sectPr w:rsidR="009473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B63CF" w14:textId="77777777" w:rsidR="00D57083" w:rsidRDefault="00D57083">
      <w:pPr>
        <w:spacing w:before="0" w:after="0"/>
      </w:pPr>
      <w:r>
        <w:separator/>
      </w:r>
    </w:p>
  </w:endnote>
  <w:endnote w:type="continuationSeparator" w:id="0">
    <w:p w14:paraId="2A43FCBD" w14:textId="77777777" w:rsidR="00D57083" w:rsidRDefault="00D5708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52485" w14:textId="77777777" w:rsidR="00D57083" w:rsidRDefault="00D57083">
      <w:r>
        <w:separator/>
      </w:r>
    </w:p>
  </w:footnote>
  <w:footnote w:type="continuationSeparator" w:id="0">
    <w:p w14:paraId="0306FC5A" w14:textId="77777777" w:rsidR="00D57083" w:rsidRDefault="00D570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1A870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5AF008A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03917660">
    <w:abstractNumId w:val="0"/>
  </w:num>
  <w:num w:numId="2" w16cid:durableId="19727887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602947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246292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72501909">
    <w:abstractNumId w:val="0"/>
  </w:num>
  <w:num w:numId="6" w16cid:durableId="8471407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448677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961084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3B3"/>
    <w:rsid w:val="009473B3"/>
    <w:rsid w:val="00D57083"/>
    <w:rsid w:val="00FB4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055C36"/>
  <w15:docId w15:val="{475ADC3D-8F2A-0146-B445-601D3B0AF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05F"/>
    <w:pPr>
      <w:spacing w:before="120" w:after="120"/>
    </w:pPr>
    <w:rPr>
      <w:rFonts w:ascii="Times New Roman" w:hAnsi="Times New Roman"/>
    </w:rPr>
  </w:style>
  <w:style w:type="paragraph" w:styleId="Heading1">
    <w:name w:val="heading 1"/>
    <w:basedOn w:val="Normal"/>
    <w:next w:val="Normal"/>
    <w:link w:val="Heading1Char"/>
    <w:uiPriority w:val="9"/>
    <w:qFormat/>
    <w:rsid w:val="0025405F"/>
    <w:pPr>
      <w:keepNext/>
      <w:keepLines/>
      <w:spacing w:before="360" w:after="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semiHidden/>
    <w:unhideWhenUsed/>
    <w:qFormat/>
    <w:rsid w:val="0025405F"/>
    <w:pPr>
      <w:keepNext/>
      <w:keepLines/>
      <w:spacing w:before="160" w:after="240"/>
      <w:outlineLvl w:val="1"/>
    </w:pPr>
    <w:rPr>
      <w:rFonts w:eastAsiaTheme="majorEastAsia" w:cstheme="majorBidi"/>
      <w:b/>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05F"/>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semiHidden/>
    <w:rsid w:val="0025405F"/>
    <w:rPr>
      <w:rFonts w:ascii="Times New Roman" w:eastAsiaTheme="majorEastAsia" w:hAnsi="Times New Roman" w:cstheme="majorBidi"/>
      <w:b/>
      <w:color w:val="000000" w:themeColor="text1"/>
      <w:sz w:val="26"/>
      <w:szCs w:val="26"/>
    </w:rPr>
  </w:style>
  <w:style w:type="paragraph" w:customStyle="1" w:styleId="SourceCode">
    <w:name w:val="Source Code"/>
    <w:basedOn w:val="Normal"/>
    <w:pPr>
      <w:shd w:val="clear" w:color="auto" w:fill="F1F3F5"/>
      <w:wordWrap w:val="0"/>
    </w:pPr>
  </w:style>
  <w:style w:type="character" w:customStyle="1" w:styleId="KeywordTok">
    <w:name w:val="KeywordTok"/>
    <w:rPr>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Title">
    <w:name w:val="Title"/>
    <w:basedOn w:val="Normal"/>
    <w:next w:val="Normal"/>
    <w:link w:val="TitleChar"/>
    <w:uiPriority w:val="10"/>
    <w:qFormat/>
    <w:rsid w:val="0025405F"/>
    <w:pPr>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25405F"/>
    <w:rPr>
      <w:rFonts w:ascii="Times New Roman" w:eastAsiaTheme="majorEastAsia" w:hAnsi="Times New Roman" w:cstheme="majorBidi"/>
      <w:b/>
      <w:spacing w:val="-10"/>
      <w:kern w:val="28"/>
      <w:sz w:val="56"/>
      <w:szCs w:val="56"/>
    </w:rPr>
  </w:style>
  <w:style w:type="paragraph" w:styleId="Subtitle">
    <w:name w:val="Subtitle"/>
    <w:basedOn w:val="Normal"/>
    <w:next w:val="Normal"/>
    <w:link w:val="SubtitleChar"/>
    <w:uiPriority w:val="11"/>
    <w:qFormat/>
    <w:rsid w:val="00FB4F8B"/>
    <w:pPr>
      <w:numPr>
        <w:ilvl w:val="1"/>
      </w:numPr>
      <w:spacing w:before="240" w:after="280"/>
      <w:jc w:val="center"/>
    </w:pPr>
    <w:rPr>
      <w:rFonts w:eastAsiaTheme="minorEastAsia"/>
      <w:color w:val="000000" w:themeColor="text1"/>
      <w:spacing w:val="15"/>
      <w:sz w:val="28"/>
      <w:szCs w:val="22"/>
    </w:rPr>
  </w:style>
  <w:style w:type="character" w:customStyle="1" w:styleId="SubtitleChar">
    <w:name w:val="Subtitle Char"/>
    <w:basedOn w:val="DefaultParagraphFont"/>
    <w:link w:val="Subtitle"/>
    <w:uiPriority w:val="11"/>
    <w:rsid w:val="00FB4F8B"/>
    <w:rPr>
      <w:rFonts w:ascii="Times New Roman" w:eastAsiaTheme="minorEastAsia" w:hAnsi="Times New Roman"/>
      <w:color w:val="000000" w:themeColor="text1"/>
      <w:spacing w:val="15"/>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89/elj.2017.0478" TargetMode="External"/><Relationship Id="rId21" Type="http://schemas.openxmlformats.org/officeDocument/2006/relationships/hyperlink" Target="https://doi.org/10.1037/cou0000558" TargetMode="External"/><Relationship Id="rId42" Type="http://schemas.openxmlformats.org/officeDocument/2006/relationships/hyperlink" Target="https://doi.org/10.1177/00031224211000710" TargetMode="External"/><Relationship Id="rId47" Type="http://schemas.openxmlformats.org/officeDocument/2006/relationships/hyperlink" Target="https://doi.org/10.1001/jamapsychiatry.2022.4394" TargetMode="External"/><Relationship Id="rId63" Type="http://schemas.openxmlformats.org/officeDocument/2006/relationships/hyperlink" Target="https://doi.org/10.1037/cou0000558" TargetMode="External"/><Relationship Id="rId68" Type="http://schemas.openxmlformats.org/officeDocument/2006/relationships/hyperlink" Target="https://doi.org/10.1089/elj.2017.0478" TargetMode="External"/><Relationship Id="rId84" Type="http://schemas.openxmlformats.org/officeDocument/2006/relationships/hyperlink" Target="https://doi.org/10.1177/00031224211000710" TargetMode="External"/><Relationship Id="rId89" Type="http://schemas.openxmlformats.org/officeDocument/2006/relationships/hyperlink" Target="https://doi.org/10.1001/jamapsychiatry.2022.4394" TargetMode="External"/><Relationship Id="rId16" Type="http://schemas.openxmlformats.org/officeDocument/2006/relationships/hyperlink" Target="https://doi.org/10.1093/geronb/gbaa114" TargetMode="External"/><Relationship Id="rId11" Type="http://schemas.openxmlformats.org/officeDocument/2006/relationships/hyperlink" Target="https://www.guttmacher.org/2023/06/state-abortion-policy-landscape-one-year-post-roe" TargetMode="External"/><Relationship Id="rId32" Type="http://schemas.openxmlformats.org/officeDocument/2006/relationships/hyperlink" Target="https://doi.org/10.1017/S0003055419000479" TargetMode="External"/><Relationship Id="rId37" Type="http://schemas.openxmlformats.org/officeDocument/2006/relationships/hyperlink" Target="https://doi.org/10.1177/153244000900900103" TargetMode="External"/><Relationship Id="rId53" Type="http://schemas.openxmlformats.org/officeDocument/2006/relationships/hyperlink" Target="https://www.guttmacher.org/2023/06/state-abortion-policy-landscape-one-year-post-roe" TargetMode="External"/><Relationship Id="rId58" Type="http://schemas.openxmlformats.org/officeDocument/2006/relationships/hyperlink" Target="https://doi.org/10.1093/geronb/gbaa114" TargetMode="External"/><Relationship Id="rId74" Type="http://schemas.openxmlformats.org/officeDocument/2006/relationships/hyperlink" Target="https://doi.org/10.1017/S0003055419000479" TargetMode="External"/><Relationship Id="rId79" Type="http://schemas.openxmlformats.org/officeDocument/2006/relationships/hyperlink" Target="https://doi.org/10.1177/153244000900900103" TargetMode="External"/><Relationship Id="rId5" Type="http://schemas.openxmlformats.org/officeDocument/2006/relationships/footnotes" Target="footnotes.xml"/><Relationship Id="rId90" Type="http://schemas.openxmlformats.org/officeDocument/2006/relationships/hyperlink" Target="https://doi.org/10.1016/j.socscimed.2023.116437" TargetMode="External"/><Relationship Id="rId14" Type="http://schemas.openxmlformats.org/officeDocument/2006/relationships/hyperlink" Target="https://doi.org/10.1016/j.jhealeco.2020.102413" TargetMode="External"/><Relationship Id="rId22" Type="http://schemas.openxmlformats.org/officeDocument/2006/relationships/hyperlink" Target="https://doi.org/10.1007/s13178-018-0324-2" TargetMode="External"/><Relationship Id="rId27" Type="http://schemas.openxmlformats.org/officeDocument/2006/relationships/hyperlink" Target="https://doi.org/10.1111/j.1740-9713.2004.00058.x" TargetMode="External"/><Relationship Id="rId30" Type="http://schemas.openxmlformats.org/officeDocument/2006/relationships/hyperlink" Target="https://doi.org/10.1177/1097184X19856399" TargetMode="External"/><Relationship Id="rId35" Type="http://schemas.openxmlformats.org/officeDocument/2006/relationships/hyperlink" Target="https://doi.org/10.2105/AJPH.2023.307567" TargetMode="External"/><Relationship Id="rId43" Type="http://schemas.openxmlformats.org/officeDocument/2006/relationships/hyperlink" Target="https://doi.org/10.1111/jomf.12732" TargetMode="External"/><Relationship Id="rId48" Type="http://schemas.openxmlformats.org/officeDocument/2006/relationships/hyperlink" Target="https://doi.org/10.1016/j.socscimed.2023.116437" TargetMode="External"/><Relationship Id="rId56" Type="http://schemas.openxmlformats.org/officeDocument/2006/relationships/hyperlink" Target="https://doi.org/10.1016/j.jhealeco.2020.102413" TargetMode="External"/><Relationship Id="rId64" Type="http://schemas.openxmlformats.org/officeDocument/2006/relationships/hyperlink" Target="https://doi.org/10.1007/s13178-018-0324-2" TargetMode="External"/><Relationship Id="rId69" Type="http://schemas.openxmlformats.org/officeDocument/2006/relationships/hyperlink" Target="https://doi.org/10.1111/j.1740-9713.2004.00058.x" TargetMode="External"/><Relationship Id="rId77" Type="http://schemas.openxmlformats.org/officeDocument/2006/relationships/hyperlink" Target="https://doi.org/10.2105/AJPH.2023.307567" TargetMode="External"/><Relationship Id="rId8" Type="http://schemas.openxmlformats.org/officeDocument/2006/relationships/hyperlink" Target="https://reproductiverights.org/maps/abortion-laws-by-state/" TargetMode="External"/><Relationship Id="rId51" Type="http://schemas.openxmlformats.org/officeDocument/2006/relationships/hyperlink" Target="https://doi.org/10.1016/j.socscimed.2017.03.010" TargetMode="External"/><Relationship Id="rId72" Type="http://schemas.openxmlformats.org/officeDocument/2006/relationships/hyperlink" Target="https://doi.org/10.1177/1097184X19856399" TargetMode="External"/><Relationship Id="rId80" Type="http://schemas.openxmlformats.org/officeDocument/2006/relationships/hyperlink" Target="https://doi.org/10.1089/elj.2022.0041" TargetMode="External"/><Relationship Id="rId85" Type="http://schemas.openxmlformats.org/officeDocument/2006/relationships/hyperlink" Target="https://doi.org/10.1111/jomf.12732" TargetMode="External"/><Relationship Id="rId3" Type="http://schemas.openxmlformats.org/officeDocument/2006/relationships/settings" Target="settings.xml"/><Relationship Id="rId12" Type="http://schemas.openxmlformats.org/officeDocument/2006/relationships/hyperlink" Target="https://doi.org/10.1001/jamapediatrics.2021.4483" TargetMode="External"/><Relationship Id="rId17" Type="http://schemas.openxmlformats.org/officeDocument/2006/relationships/hyperlink" Target="https://doi.org/10.1177/0963721414523775" TargetMode="External"/><Relationship Id="rId25" Type="http://schemas.openxmlformats.org/officeDocument/2006/relationships/hyperlink" Target="https://www.theguardian.com/us-news/2022/dec/16/us-trans-non-binary-youth-suicide-mental-health" TargetMode="External"/><Relationship Id="rId33" Type="http://schemas.openxmlformats.org/officeDocument/2006/relationships/hyperlink" Target="https://doi.org/10.1146/annurev-soc-073014-112305" TargetMode="External"/><Relationship Id="rId38" Type="http://schemas.openxmlformats.org/officeDocument/2006/relationships/hyperlink" Target="https://doi.org/10.1089/elj.2022.0041" TargetMode="External"/><Relationship Id="rId46" Type="http://schemas.openxmlformats.org/officeDocument/2006/relationships/hyperlink" Target="https://doi.org/10.2105/AJPH.2018.304428" TargetMode="External"/><Relationship Id="rId59" Type="http://schemas.openxmlformats.org/officeDocument/2006/relationships/hyperlink" Target="https://doi.org/10.1177/0963721414523775" TargetMode="External"/><Relationship Id="rId67" Type="http://schemas.openxmlformats.org/officeDocument/2006/relationships/hyperlink" Target="https://www.theguardian.com/us-news/2022/dec/16/us-trans-non-binary-youth-suicide-mental-health" TargetMode="External"/><Relationship Id="rId20" Type="http://schemas.openxmlformats.org/officeDocument/2006/relationships/hyperlink" Target="https://doi.org/10.1377/hlthaff.2021.01414" TargetMode="External"/><Relationship Id="rId41" Type="http://schemas.openxmlformats.org/officeDocument/2006/relationships/hyperlink" Target="https://doi.org/10.1001/jama.2023.25599" TargetMode="External"/><Relationship Id="rId54" Type="http://schemas.openxmlformats.org/officeDocument/2006/relationships/hyperlink" Target="https://doi.org/10.1001/jamapediatrics.2021.4483" TargetMode="External"/><Relationship Id="rId62" Type="http://schemas.openxmlformats.org/officeDocument/2006/relationships/hyperlink" Target="https://doi.org/10.1377/hlthaff.2021.01414" TargetMode="External"/><Relationship Id="rId70" Type="http://schemas.openxmlformats.org/officeDocument/2006/relationships/hyperlink" Target="https://doi.org/10.1016/S0140-6736(15)00150-6" TargetMode="External"/><Relationship Id="rId75" Type="http://schemas.openxmlformats.org/officeDocument/2006/relationships/hyperlink" Target="https://doi.org/10.1146/annurev-soc-073014-112305" TargetMode="External"/><Relationship Id="rId83" Type="http://schemas.openxmlformats.org/officeDocument/2006/relationships/hyperlink" Target="https://doi.org/10.1001/jama.2023.25599" TargetMode="External"/><Relationship Id="rId88" Type="http://schemas.openxmlformats.org/officeDocument/2006/relationships/hyperlink" Target="https://doi.org/10.2105/AJPH.2018.304428"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reuters.com/graphics/USA-HEALTHCARE/TRANS-BILLS/zgvorreyapd/" TargetMode="External"/><Relationship Id="rId23" Type="http://schemas.openxmlformats.org/officeDocument/2006/relationships/hyperlink" Target="https://doi.org/10.1086/587151" TargetMode="External"/><Relationship Id="rId28" Type="http://schemas.openxmlformats.org/officeDocument/2006/relationships/hyperlink" Target="https://doi.org/10.1016/S0140-6736(15)00150-6" TargetMode="External"/><Relationship Id="rId36" Type="http://schemas.openxmlformats.org/officeDocument/2006/relationships/hyperlink" Target="https://doi.org/10.1377/forefront.20170127.058486" TargetMode="External"/><Relationship Id="rId49" Type="http://schemas.openxmlformats.org/officeDocument/2006/relationships/hyperlink" Target="https://doi.org/10.1089/lgbt.2021.0157" TargetMode="External"/><Relationship Id="rId57" Type="http://schemas.openxmlformats.org/officeDocument/2006/relationships/hyperlink" Target="https://www.reuters.com/graphics/USA-HEALTHCARE/TRANS-BILLS/zgvorreyapd/" TargetMode="External"/><Relationship Id="rId10" Type="http://schemas.openxmlformats.org/officeDocument/2006/relationships/hyperlink" Target="https://doi.org/10.1136/bmjsrh-2017-101866" TargetMode="External"/><Relationship Id="rId31" Type="http://schemas.openxmlformats.org/officeDocument/2006/relationships/hyperlink" Target="https://doi.org/10.1007/978-3-319-55376-4_3" TargetMode="External"/><Relationship Id="rId44" Type="http://schemas.openxmlformats.org/officeDocument/2006/relationships/hyperlink" Target="https://doi.org/10.1177/13558196221123413" TargetMode="External"/><Relationship Id="rId52" Type="http://schemas.openxmlformats.org/officeDocument/2006/relationships/hyperlink" Target="https://doi.org/10.1136/bmjsrh-2017-101866" TargetMode="External"/><Relationship Id="rId60" Type="http://schemas.openxmlformats.org/officeDocument/2006/relationships/hyperlink" Target="https://doi.org/10.1037/amp0000068" TargetMode="External"/><Relationship Id="rId65" Type="http://schemas.openxmlformats.org/officeDocument/2006/relationships/hyperlink" Target="https://doi.org/10.1086/587151" TargetMode="External"/><Relationship Id="rId73" Type="http://schemas.openxmlformats.org/officeDocument/2006/relationships/hyperlink" Target="https://doi.org/10.1007/978-3-319-55376-4_3" TargetMode="External"/><Relationship Id="rId78" Type="http://schemas.openxmlformats.org/officeDocument/2006/relationships/hyperlink" Target="https://doi.org/10.1377/forefront.20170127.058486" TargetMode="External"/><Relationship Id="rId81" Type="http://schemas.openxmlformats.org/officeDocument/2006/relationships/hyperlink" Target="https://doi.org/10.1080/01442872.2019.1694655" TargetMode="External"/><Relationship Id="rId86" Type="http://schemas.openxmlformats.org/officeDocument/2006/relationships/hyperlink" Target="https://doi.org/10.1177/13558196221123413" TargetMode="External"/><Relationship Id="rId4" Type="http://schemas.openxmlformats.org/officeDocument/2006/relationships/webSettings" Target="webSettings.xml"/><Relationship Id="rId9" Type="http://schemas.openxmlformats.org/officeDocument/2006/relationships/hyperlink" Target="https://doi.org/10.1016/j.socscimed.2017.03.010" TargetMode="External"/><Relationship Id="rId13" Type="http://schemas.openxmlformats.org/officeDocument/2006/relationships/hyperlink" Target="https://doi.org/10.1111/pops.12837" TargetMode="External"/><Relationship Id="rId18" Type="http://schemas.openxmlformats.org/officeDocument/2006/relationships/hyperlink" Target="https://doi.org/10.1037/amp0000068" TargetMode="External"/><Relationship Id="rId39" Type="http://schemas.openxmlformats.org/officeDocument/2006/relationships/hyperlink" Target="https://doi.org/10.1080/01442872.2019.1694655" TargetMode="External"/><Relationship Id="rId34" Type="http://schemas.openxmlformats.org/officeDocument/2006/relationships/hyperlink" Target="https://doi.org/10.1016/j.socscimed.2014.12.031" TargetMode="External"/><Relationship Id="rId50" Type="http://schemas.openxmlformats.org/officeDocument/2006/relationships/hyperlink" Target="https://reproductiverights.org/maps/abortion-laws-by-state/" TargetMode="External"/><Relationship Id="rId55" Type="http://schemas.openxmlformats.org/officeDocument/2006/relationships/hyperlink" Target="https://doi.org/10.1111/pops.12837" TargetMode="External"/><Relationship Id="rId76" Type="http://schemas.openxmlformats.org/officeDocument/2006/relationships/hyperlink" Target="https://doi.org/10.1016/j.socscimed.2014.12.031" TargetMode="External"/><Relationship Id="rId7" Type="http://schemas.openxmlformats.org/officeDocument/2006/relationships/hyperlink" Target="https://doi.org/10.1089/lgbt.2021.0157" TargetMode="External"/><Relationship Id="rId71" Type="http://schemas.openxmlformats.org/officeDocument/2006/relationships/hyperlink" Target="https://www.nytimes.com/interactive/2023/06/22/us/abortion-clinics-dobbs-roe-wade.html"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www.nytimes.com/interactive/2023/06/22/us/abortion-clinics-dobbs-roe-wade.html" TargetMode="External"/><Relationship Id="rId24" Type="http://schemas.openxmlformats.org/officeDocument/2006/relationships/hyperlink" Target="https://doi.org/10.1080/13504630.2013.842674" TargetMode="External"/><Relationship Id="rId40" Type="http://schemas.openxmlformats.org/officeDocument/2006/relationships/hyperlink" Target="https://doi.org/10.1037/sgd0000481" TargetMode="External"/><Relationship Id="rId45" Type="http://schemas.openxmlformats.org/officeDocument/2006/relationships/hyperlink" Target="https://doi.org/10.1370/afm.2441" TargetMode="External"/><Relationship Id="rId66" Type="http://schemas.openxmlformats.org/officeDocument/2006/relationships/hyperlink" Target="https://doi.org/10.1080/13504630.2013.842674" TargetMode="External"/><Relationship Id="rId87" Type="http://schemas.openxmlformats.org/officeDocument/2006/relationships/hyperlink" Target="https://doi.org/10.1370/afm.2441" TargetMode="External"/><Relationship Id="rId61" Type="http://schemas.openxmlformats.org/officeDocument/2006/relationships/hyperlink" Target="https://doi.org/10.2105/AJPH.2024.307578" TargetMode="External"/><Relationship Id="rId82" Type="http://schemas.openxmlformats.org/officeDocument/2006/relationships/hyperlink" Target="https://doi.org/10.1037/sgd0000481" TargetMode="External"/><Relationship Id="rId19" Type="http://schemas.openxmlformats.org/officeDocument/2006/relationships/hyperlink" Target="https://doi.org/10.2105/AJPH.2024.3075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8235</Words>
  <Characters>46940</Characters>
  <Application>Microsoft Office Word</Application>
  <DocSecurity>0</DocSecurity>
  <Lines>391</Lines>
  <Paragraphs>110</Paragraphs>
  <ScaleCrop>false</ScaleCrop>
  <Company/>
  <LinksUpToDate>false</LinksUpToDate>
  <CharactersWithSpaces>55065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U.S. States to Investigate the Role of Sociopolitical Differences in Health</dc:title>
  <dc:creator>A. Pittman, MGS</dc:creator>
  <cp:keywords/>
  <cp:lastModifiedBy>Amelia Pittman</cp:lastModifiedBy>
  <cp:revision>2</cp:revision>
  <dcterms:created xsi:type="dcterms:W3CDTF">2024-03-09T19:43:00Z</dcterms:created>
  <dcterms:modified xsi:type="dcterms:W3CDTF">2024-03-09T19:43:00Z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american-sociological-association.csl</vt:lpwstr>
  </property>
  <property fmtid="{D5CDD505-2E9C-101B-9397-08002B2CF9AE}" pid="7" name="date">
    <vt:lpwstr>March 26, 2024</vt:lpwstr>
  </property>
  <property fmtid="{D5CDD505-2E9C-101B-9397-08002B2CF9AE}" pid="8" name="date-format">
    <vt:lpwstr>long</vt:lpwstr>
  </property>
  <property fmtid="{D5CDD505-2E9C-101B-9397-08002B2CF9AE}" pid="9" name="editor">
    <vt:lpwstr>visual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revealjs-plugins">
    <vt:lpwstr/>
  </property>
  <property fmtid="{D5CDD505-2E9C-101B-9397-08002B2CF9AE}" pid="15" name="subtitle">
    <vt:lpwstr>Dissertation Proposal</vt:lpwstr>
  </property>
  <property fmtid="{D5CDD505-2E9C-101B-9397-08002B2CF9AE}" pid="16" name="toc-title">
    <vt:lpwstr>Table of contents</vt:lpwstr>
  </property>
</Properties>
</file>