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524"/>
          </w:tcPr>
          <w:p>
            <w:pPr>
              <w:spacing w:after="20"/>
              <w:bidi/>
              <w:jc w:val="right"/>
            </w:pPr>
            <w:r>
              <w:rPr>
                <w:b/>
                <w:color w:val="1F3864"/>
                <w:sz w:val="26"/>
              </w:rPr>
              <w:t>المستشفى التعليمي بالمدينة</w:t>
            </w:r>
          </w:p>
          <w:p>
            <w:pPr>
              <w:spacing w:after="20"/>
              <w:bidi/>
              <w:jc w:val="right"/>
            </w:pPr>
            <w:r>
              <w:rPr>
                <w:b/>
                <w:color w:val="00008B"/>
                <w:sz w:val="20"/>
              </w:rPr>
              <w:t>قسم الأشعة والتصوير الطبي</w:t>
            </w:r>
          </w:p>
          <w:p>
            <w:pPr>
              <w:spacing w:after="20"/>
              <w:bidi/>
              <w:jc w:val="right"/>
            </w:pPr>
            <w:r>
              <w:rPr>
                <w:b w:val="0"/>
                <w:color w:val="808080"/>
                <w:sz w:val="16"/>
              </w:rPr>
              <w:t>شارع 12 • ص.ب 144 • صنعاء • هاتف 000000 1 967+</w:t>
            </w:r>
          </w:p>
        </w:tc>
        <w:tc>
          <w:tcPr>
            <w:tcW w:type="dxa" w:w="1247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2000" cy="612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rg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00" cy="61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sz="8" w:space="1" w:color="1F3864"/>
        </w:pBdr>
        <w:spacing w:after="160"/>
      </w:pPr>
    </w:p>
    <w:p>
      <w:pPr>
        <w:jc w:val="center"/>
        <w:bidi/>
      </w:pPr>
      <w:r>
        <w:rPr>
          <w:b/>
          <w:color w:val="1F3864"/>
          <w:sz w:val="30"/>
        </w:rPr>
        <w:t>تقرير أشعة طبي</w:t>
      </w:r>
    </w:p>
    <w:p>
      <w:pPr>
        <w:bidi/>
      </w:pPr>
      <w:r>
        <w:t xml:space="preserve">اسم المريض: سيلان احمد ناجي الخلقي</w:t>
      </w:r>
    </w:p>
    <w:p>
      <w:pPr>
        <w:bidi/>
      </w:pPr>
      <w:r>
        <w:t xml:space="preserve">الجنس: ذكر     العمر: 075 سنة</w:t>
      </w:r>
    </w:p>
    <w:p>
      <w:pPr>
        <w:bidi/>
      </w:pPr>
      <w:r>
        <w:t xml:space="preserve">تاريخ الفحص: 19/09/2026</w:t>
      </w:r>
    </w:p>
    <w:p>
      <w:pPr>
        <w:bidi/>
      </w:pPr>
      <w:r>
        <w:t xml:space="preserve">الفحص: رنين مغناطيسي للعمود الفقري القطني مع الصبغة</w:t>
      </w:r>
    </w:p>
    <w:p>
      <w:pPr>
        <w:bidi/>
      </w:pPr>
      <w:r>
        <w:t xml:space="preserve">الدلالة السريرية: تاريخ تثبيت قطني قبل 6 سنوات؛ ألم أسفل الظهر مع اعتلال جذري أيمن.</w:t>
      </w:r>
    </w:p>
    <w:p>
      <w:pPr>
        <w:bidi/>
      </w:pPr>
      <w:r>
        <w:rPr>
          <w:b/>
          <w:color w:val="00008B"/>
        </w:rPr>
        <w:t>التقنية:</w:t>
      </w:r>
    </w:p>
    <w:p>
      <w:pPr>
        <w:bidi/>
      </w:pPr>
      <w:r>
        <w:t xml:space="preserve">أُجري فحص الرنين المغناطيسي للعمود الفقري القطني مع الصبغة الوريدية وفق بروتوكول القسم.</w:t>
      </w:r>
    </w:p>
    <w:p>
      <w:pPr>
        <w:bidi/>
      </w:pPr>
      <w:r>
        <w:rPr>
          <w:b/>
          <w:color w:val="00008B"/>
        </w:rPr>
        <w:t>الوصف:</w:t>
      </w:r>
    </w:p>
    <w:p>
      <w:pPr>
        <w:bidi/>
      </w:pPr>
      <w:r>
        <w:t xml:space="preserve"/>
      </w:r>
      <w:r>
        <w:t xml:space="preserve">تغييرات ما بعد العملية في </w:t>
      </w:r>
      <w:r>
        <w:rPr>
          <w:b/>
        </w:rPr>
        <w:t xml:space="preserve">الفقرات القطنية</w:t>
      </w:r>
      <w:r>
        <w:t xml:space="preserve"> السفلية، متوافقة مع استئصال الصفيحة والتثبيت الخلفي على مستوى L4–L5–S1.</w:t>
      </w:r>
      <w:r>
        <w:t xml:space="preserve"/>
      </w:r>
    </w:p>
    <w:p>
      <w:pPr>
        <w:bidi/>
      </w:pPr>
      <w:r>
        <w:t xml:space="preserve"/>
      </w:r>
      <w:r>
        <w:t xml:space="preserve">بروزات </w:t>
      </w:r>
      <w:r>
        <w:rPr>
          <w:b/>
        </w:rPr>
        <w:t xml:space="preserve">غضروفية</w:t>
      </w:r>
      <w:r>
        <w:t xml:space="preserve"> خلفية متبقية تضغط على </w:t>
      </w:r>
      <w:r>
        <w:rPr>
          <w:b/>
        </w:rPr>
        <w:t xml:space="preserve">الكيس الجافوي</w:t>
      </w:r>
      <w:r>
        <w:t xml:space="preserve"> الأمامي عند L4–L5 وL5–S1.</w:t>
      </w:r>
      <w:r>
        <w:t xml:space="preserve"/>
      </w:r>
    </w:p>
    <w:p>
      <w:pPr>
        <w:bidi/>
      </w:pPr>
      <w:r>
        <w:rPr>
          <w:b/>
          <w:color w:val="00008B"/>
        </w:rPr>
        <w:t>الانطباع:</w:t>
      </w:r>
    </w:p>
    <w:p>
      <w:pPr>
        <w:bidi/>
        <w:shd w:fill="EBEBEB"/>
        <w:spacing w:after="0"/>
      </w:pPr>
      <w:r>
        <w:rPr>
          <w:b w:val="0"/>
        </w:rPr>
        <w:t xml:space="preserve">• </w:t>
      </w:r>
      <w:r>
        <w:rPr>
          <w:b w:val="0"/>
        </w:rPr>
        <w:t xml:space="preserve"/>
      </w:r>
      <w:r>
        <w:t xml:space="preserve">تغييرات ما بعد العملية مع </w:t>
      </w:r>
      <w:r>
        <w:rPr>
          <w:b/>
        </w:rPr>
        <w:t xml:space="preserve">تليف فوق الجافية</w:t>
      </w:r>
      <w:r>
        <w:t xml:space="preserve"> معزز عند سرير الجراحة.</w:t>
      </w:r>
      <w:r>
        <w:t xml:space="preserve"/>
      </w:r>
    </w:p>
    <w:p>
      <w:pPr>
        <w:bidi/>
        <w:shd w:fill="EBEBEB"/>
        <w:spacing w:after="0"/>
      </w:pPr>
      <w:r>
        <w:rPr>
          <w:b w:val="0"/>
        </w:rPr>
        <w:t xml:space="preserve">• </w:t>
      </w:r>
      <w:r>
        <w:rPr>
          <w:b w:val="0"/>
        </w:rPr>
        <w:t xml:space="preserve"/>
      </w:r>
      لا دليل على تجمع سائلي بعد العملية أو أمهات غشائية كاذبة.
      <w:r>
        <w:t xml:space="preserve"/>
      </w:r>
    </w:p>
    <w:p>
      <w:pPr>
        <w:bidi/>
      </w:pPr>
    </w:p>
    <w:p>
      <w:pPr>
        <w:jc w:val="right"/>
        <w:bidi/>
      </w:pPr>
      <w:r>
        <w:rPr>
          <w:b w:val="0"/>
        </w:rPr>
        <w:t>التقرير بواسطة:</w:t>
        <w:br/>
        <w:t xml:space="preserve">د. عبدالله حجر</w:t>
        <w:br/>
        <w:t xml:space="preserve">استشاري الأشعة</w:t>
      </w:r>
    </w:p>
    <w:p>
      <w:pPr>
        <w:bidi/>
      </w:pPr>
      <w:r>
        <w:rPr>
          <w:b w:val="0"/>
          <w:color w:val="808080"/>
          <w:sz w:val="16"/>
        </w:rPr>
        <w:t xml:space="preserve">بصمة المستند SHA-256: 30fb8e6d458799f1e07f0e9a2ff40a8f47b3f9a4a29c6f8f8c1c9e37b0458799 — حُرر في: 2026-09-20T02:31:52Z — مخرج لدعم القرار؛ المسؤولية السريرية النهائية على الطبيب الموقّع.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