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bằng 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Tạo form tính tiền điện gồm: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Họ tên: (text)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Giới tính: (radio)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Địa chỉ: (text)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Phân loại khách hàng: (select option): Sử dụng dân dụng, kinh doanh, sản xuất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Số điện đầu kỳ: text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Số điện cuối kỳ: text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Ngày đầu kỳ: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Ngày cuối kỳ: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 Validate các trường không được để trống, có thông báo lỗi đầy đủ từng trường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Ngày đầu lớn hơn ngày cuối, số đầu nhỏ hơn số cuối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Tính giá tiền điện biết: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100 số đầu giá 1.500 VND/số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100 số tiếp theo giá 2.000 VND/số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Từ số 200 trở đi giá 3.500 VND/số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Sử dụng dân dụng tính thuế 10%, kinh doanh 12%, sản xuất 15%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In ra bảng tính tiền điện với đầy đủ thông tin và giá tiền điện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Format số tiền phải trả theo format cho dễ đọc,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ví dụ: 12.320.000 VNĐ (thay vì 12320000 VND)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