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4F1E9" w:val="clear"/>
            <w:vAlign w:val="top"/>
          </w:tcPr>
          <w:p>
            <w:pPr>
              <w:spacing w:before="4092"/>
            </w:pPr>
          </w:p>
          <w:p>
            <w:pPr>
              <w:pBdr>
                <w:bottom w:val="single" w:color="C89F62" w:sz="6" w:space="8"/>
              </w:pBdr>
              <w:spacing w:after="500"/>
              <w:ind w:left="1200" w:right="800"/>
            </w:pPr>
            <w:r>
              <w:rPr>
                <w:color w:val="C89F62"/>
                <w:sz w:val="18"/>
                <w:szCs w:val="18"/>
                <w:rFonts w:ascii="Calibri" w:eastAsia="SimHei"/>
                <w:spacing w:val="40"/>
              </w:rPr>
              <w:t xml:space="preserve">I  M  P  R  O  V  E  M  E  N  T     A  N  A  L  Y  S  I  S</w:t>
            </w:r>
          </w:p>
          <w:p>
            <w:pPr>
              <w:spacing w:after="100" w:line="920" w:lineRule="atLeast"/>
              <w:ind w:left="1200"/>
            </w:pPr>
            <w:r>
              <w:rPr>
                <w:b/>
                <w:bCs/>
                <w:color w:val="2A4A3A"/>
                <w:sz w:val="80"/>
                <w:szCs w:val="80"/>
                <w:rFonts w:eastAsia="SimHei" w:ascii="Arial"/>
              </w:rPr>
              <w:t xml:space="preserve">LawLink</w:t>
            </w:r>
          </w:p>
          <w:p>
            <w:pPr>
              <w:spacing w:after="300" w:line="920" w:lineRule="atLeast"/>
              <w:ind w:left="1200"/>
            </w:pPr>
            <w:r>
              <w:rPr>
                <w:b/>
                <w:bCs/>
                <w:color w:val="2A4A3A"/>
                <w:sz w:val="80"/>
                <w:szCs w:val="80"/>
                <w:rFonts w:eastAsia="SimHei" w:ascii="Arial"/>
              </w:rPr>
              <w:t xml:space="preserve">改进分析报告</w:t>
            </w:r>
          </w:p>
          <w:p>
            <w:pPr>
              <w:spacing w:after="800"/>
              <w:ind w:left="1200"/>
            </w:pPr>
            <w:r>
              <w:rPr>
                <w:color w:val="606060"/>
                <w:sz w:val="24"/>
                <w:szCs w:val="24"/>
                <w:rFonts w:eastAsia="Microsoft YaHei" w:ascii="Arial"/>
              </w:rPr>
              <w:t xml:space="preserve">行业文章对标 · 现状盘点 · 领域模型重评（综合版·第二版）</w:t>
            </w:r>
          </w:p>
          <w:p>
            <w:pPr>
              <w:pBdr>
                <w:left w:val="single" w:color="C89F62" w:sz="8" w:space="12"/>
              </w:pBdr>
              <w:spacing w:after="80"/>
              <w:ind w:left="1400"/>
            </w:pPr>
            <w:r>
              <w:rPr>
                <w:color w:val="707070"/>
                <w:sz w:val="24"/>
                <w:szCs w:val="24"/>
                <w:rFonts w:eastAsia="Microsoft YaHei" w:ascii="Arial"/>
              </w:rPr>
              <w:t xml:space="preserve">分析对象：LawLink 开源律所案件管理系统</w:t>
            </w:r>
          </w:p>
          <w:p>
            <w:pPr>
              <w:pBdr>
                <w:left w:val="single" w:color="C89F62" w:sz="8" w:space="12"/>
              </w:pBdr>
              <w:spacing w:after="80"/>
              <w:ind w:left="1400"/>
            </w:pPr>
            <w:r>
              <w:rPr>
                <w:color w:val="707070"/>
                <w:sz w:val="24"/>
                <w:szCs w:val="24"/>
                <w:rFonts w:eastAsia="Microsoft YaHei" w:ascii="Arial"/>
              </w:rPr>
              <w:t xml:space="preserve">输入材料：行业文章 14 篇 / 项目现状盘点 / 独立重评报告</w:t>
            </w:r>
          </w:p>
          <w:p>
            <w:pPr>
              <w:pBdr>
                <w:left w:val="single" w:color="C89F62" w:sz="8" w:space="12"/>
              </w:pBdr>
              <w:spacing w:after="80"/>
              <w:ind w:left="1400"/>
            </w:pPr>
            <w:r>
              <w:rPr>
                <w:color w:val="707070"/>
                <w:sz w:val="24"/>
                <w:szCs w:val="24"/>
                <w:rFonts w:eastAsia="Microsoft YaHei" w:ascii="Arial"/>
              </w:rPr>
              <w:t xml:space="preserve">版本：第二版（已按同日审阅更正意见修订十项内容）</w:t>
            </w:r>
          </w:p>
          <w:p>
            <w:pPr>
              <w:pBdr>
                <w:left w:val="single" w:color="C89F62" w:sz="8" w:space="12"/>
              </w:pBdr>
              <w:spacing w:after="80"/>
              <w:ind w:left="1400"/>
            </w:pPr>
            <w:r>
              <w:rPr>
                <w:color w:val="707070"/>
                <w:sz w:val="24"/>
                <w:szCs w:val="24"/>
                <w:rFonts w:eastAsia="Microsoft YaHei" w:ascii="Arial"/>
              </w:rPr>
              <w:t xml:space="preserve">编制日期：2026 年 9 月 13 日</w:t>
            </w:r>
          </w:p>
          <w:p>
            <w:pPr>
              <w:spacing w:before="4092"/>
            </w:pPr>
          </w:p>
          <w:p>
            <w:pPr>
              <w:pBdr>
                <w:top w:val="single" w:color="C89F62" w:sz="2" w:space="8"/>
              </w:pBdr>
              <w:spacing w:before="200"/>
              <w:ind w:left="1200" w:right="800"/>
            </w:pPr>
            <w:r>
              <w:rPr>
                <w:color w:val="A0A0A0"/>
                <w:sz w:val="16"/>
                <w:szCs w:val="16"/>
                <w:rFonts w:ascii="Arial" w:eastAsia="Microsoft YaHei"/>
              </w:rPr>
              <w:t xml:space="preserve">LawLink</w:t>
            </w:r>
            <w:r>
              <w:t xml:space="preserve">                                        </w:t>
            </w:r>
            <w:r>
              <w:rPr>
                <w:color w:val="A0A0A0"/>
                <w:sz w:val="16"/>
                <w:szCs w:val="16"/>
                <w:rFonts w:ascii="Arial" w:eastAsia="Microsoft YaHei"/>
              </w:rPr>
              <w:t xml:space="preserve">2026-09-13</w:t>
            </w:r>
          </w:p>
        </w:tc>
      </w:tr>
    </w:tbl>
    <w:p>
      <w:pPr>
        <w:sectPr>
          <w:pgSz w:w="11906" w:h="16838" w:orient="portrait"/>
          <w:pgMar w:top="0" w:right="0" w:bottom="0" w:left="0" w:header="708" w:footer="708" w:gutter="0"/>
          <w:docGrid w:linePitch="360"/>
        </w:sectPr>
      </w:pPr>
    </w:p>
    <w:p>
      <w:pPr>
        <w:spacing w:before="240" w:after="240" w:line="380" w:lineRule="atLeast"/>
        <w:jc w:val="center"/>
      </w:pPr>
      <w:r>
        <w:rPr>
          <w:b/>
          <w:bCs/>
          <w:color w:val="2A4A3A"/>
          <w:sz w:val="32"/>
          <w:szCs w:val="32"/>
          <w:rFonts w:ascii="Times New Roman" w:eastAsia="SimHei"/>
        </w:rPr>
        <w:t xml:space="preserve">摘  要</w:t>
      </w:r>
    </w:p>
    <w:p>
      <w:pPr>
        <w:spacing w:line="312" w:after="60"/>
        <w:ind w:firstLine="480"/>
        <w:jc w:val="both"/>
      </w:pPr>
      <w:r>
        <w:rPr>
          <w:b w:val="false"/>
          <w:bCs w:val="false"/>
          <w:color w:val="000000"/>
          <w:sz w:val="24"/>
          <w:szCs w:val="24"/>
          <w:rFonts w:ascii="Times New Roman" w:eastAsia="SimSun"/>
        </w:rPr>
        <w:t xml:space="preserve">本报告对《律所案件管理系统》系列文章（共 14 篇）、LawLink 项目现状以及一份独立重评报告进行综合分析，形成面向决策的改进建议。三份输入均经过交叉核验：系列文章逐篇精读提炼；项目现状依据产品需求文档、数据模型文档与数据库结构实际比对；重评报告引用的七处代码证据（编号 C01 至 C07）经静态核查与描述相符。本报告已对列明的关键代码事实进行静态核查；现状描述区分数据库字段、实际业务路径和待验证能力，目标方案属于基于需求与比较的判断，能力完整性、跨入口权限覆盖、检索质量及恢复可靠性仍需通过相应验收验证。</w:t>
      </w:r>
    </w:p>
    <w:p>
      <w:pPr>
        <w:spacing w:line="312" w:after="60"/>
        <w:ind w:firstLine="480"/>
        <w:jc w:val="both"/>
      </w:pPr>
      <w:r>
        <w:rPr>
          <w:b w:val="false"/>
          <w:bCs w:val="false"/>
          <w:color w:val="000000"/>
          <w:sz w:val="24"/>
          <w:szCs w:val="24"/>
          <w:rFonts w:ascii="Times New Roman" w:eastAsia="SimSun"/>
        </w:rPr>
        <w:t xml:space="preserve">核心结论有四。其一，</w:t>
      </w:r>
      <w:r>
        <w:rPr>
          <w:b/>
          <w:bCs/>
          <w:color w:val="000000"/>
          <w:sz w:val="24"/>
          <w:szCs w:val="24"/>
          <w:rFonts w:ascii="Times New Roman" w:eastAsia="SimSun"/>
        </w:rPr>
        <w:t xml:space="preserve">LawLink 的主线流程、审批治理与期限规则本土化程度领先于文章描述的行业通用模型，不应为对齐文章而削弱</w:t>
      </w:r>
      <w:r>
        <w:rPr>
          <w:b w:val="false"/>
          <w:bCs w:val="false"/>
          <w:color w:val="000000"/>
          <w:sz w:val="24"/>
          <w:szCs w:val="24"/>
          <w:rFonts w:ascii="Times New Roman" w:eastAsia="SimSun"/>
        </w:rPr>
        <w:t xml:space="preserve">。其二，真正的差距集中在几处工程纪律：文档缺少文本层与全文检索且版本链未闭合；已确认的财务记录缺少保护与关联更正机制；提醒配置与执行未完全打通、缺少持久投递闭环；客户主数据缺少查重兜底；账号缺少登录保护；外部调用缺少可观测性。其三，重评报告指出的领域模型缺口（委托、事项、程序语义混同，材料缺乏页级出处）成立，应作为中长期演进方向；重构范围在目标模型确定后，以两条纵向样例的同等验收比较决定。其四，重评报告中有三处建议触及现行制度，相关设计纳入重新评估，先修订制度文件再实施，是否保留由业务价值、风险与维护成本的比较结果决定。</w:t>
      </w:r>
    </w:p>
    <w:p>
      <w:pPr>
        <w:spacing w:line="312" w:after="60"/>
        <w:ind w:firstLine="480"/>
        <w:jc w:val="both"/>
      </w:pPr>
      <w:r>
        <w:rPr>
          <w:b w:val="false"/>
          <w:bCs w:val="false"/>
          <w:color w:val="000000"/>
          <w:sz w:val="24"/>
          <w:szCs w:val="24"/>
          <w:rFonts w:ascii="Times New Roman" w:eastAsia="SimSun"/>
        </w:rPr>
        <w:t xml:space="preserve">改进建议按优先级与依赖关系分三层组织（P0 底线补强、P1 结构强化、P2 目标形态演进），并附明确不宜照搬清单。层内所附工期量级仅为未经拆解的粗略估计，须在范围拆解与人员投入确认后重估。本报告为第二版，已依据同日内容审阅更正意见修订评估标准、软删除唯一约束方案、提醒与版本能力描述、权限测试现状、财务缺口定位、检索方案边界、路线图依赖与工期依据、共享水印升级的对象边界及重构判断表述；本报告仅为分析与建议，不构成修改任何代码、数据库或制度文件的执行授权。</w:t>
      </w:r>
      <w:r>
        <w:br w:type="page"/>
      </w:r>
    </w:p>
    <w:p>
      <w:pPr>
        <w:spacing w:before="240" w:after="300" w:line="380" w:lineRule="atLeast"/>
        <w:jc w:val="center"/>
      </w:pPr>
      <w:r>
        <w:rPr>
          <w:b/>
          <w:bCs/>
          <w:color w:val="2A4A3A"/>
          <w:sz w:val="32"/>
          <w:szCs w:val="32"/>
          <w:rFonts w:ascii="Times New Roman" w:eastAsia="SimHei"/>
        </w:rPr>
        <w:t xml:space="preserve">目  录</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第一章  评估背景、材料与方法</w:t>
            </w:r>
            <w:r>
              <w:tab/>
            </w:r>
            <w:r>
              <w:fldChar w:fldCharType="begin"/>
            </w:r>
            <w:r>
              <w:instrText xml:space="preserve"> PAGEREF _Toc100000 \h </w:instrText>
            </w:r>
            <w:r>
              <w:fldChar w:fldCharType="separate"/>
            </w:r>
            <w:r>
              <w:t>2</w:t>
            </w:r>
            <w:r>
              <w:fldChar w:fldCharType="end"/>
            </w:r>
          </w:hyperlink>
        </w:p>
        <w:p>
          <w:pPr>
            <w:pStyle w:val="11"/>
            <w:ind w:left="360"/>
            <w:tabs>
              <w:tab w:val="right" w:leader="dot" w:pos="9026"/>
            </w:tabs>
            <w:spacing w:before="120" w:after="60"/>
          </w:pPr>
          <w:hyperlink w:anchor="_Toc100001" w:history="1">
            <w:r>
              <w:rPr>
                <w:rStyle w:val="Hyperlink"/>
              </w:rPr>
              <w:t>1.1 背景与目的</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输入材料与证据等级</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方法、边界与版本说明</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第二章  总体结论</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2.1 四条核心判断</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2.2 主题总览对比</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第三章  行业文章体系概览</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3.1 十四篇文章的主题结构</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3.2 最有价值的五条方法论</w:t>
            </w:r>
            <w:r>
              <w:tab/>
            </w:r>
            <w:r>
              <w:fldChar w:fldCharType="begin"/>
            </w:r>
            <w:r>
              <w:instrText xml:space="preserve"> PAGEREF _Toc100009 \h </w:instrText>
            </w:r>
            <w:r>
              <w:fldChar w:fldCharType="separate"/>
            </w:r>
            <w:r>
              <w:t>5</w:t>
            </w:r>
            <w:r>
              <w:fldChar w:fldCharType="end"/>
            </w:r>
          </w:hyperlink>
        </w:p>
        <w:p>
          <w:pPr>
            <w:pStyle w:val="9"/>
            <w:tabs>
              <w:tab w:val="right" w:leader="dot" w:pos="9026"/>
            </w:tabs>
            <w:spacing w:before="120" w:after="60"/>
          </w:pPr>
          <w:hyperlink w:anchor="_Toc100010" w:history="1">
            <w:r>
              <w:rPr>
                <w:rStyle w:val="Hyperlink"/>
              </w:rPr>
              <w:t>第四章  LawLink 现状盘点</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4.1 定位、技术栈与质量现状</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4.2 数据模型全景</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4.3 治理体系</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4.4 已知挂账事项</w:t>
            </w:r>
            <w:r>
              <w:tab/>
            </w:r>
            <w:r>
              <w:fldChar w:fldCharType="begin"/>
            </w:r>
            <w:r>
              <w:instrText xml:space="preserve"> PAGEREF _Toc100014 \h </w:instrText>
            </w:r>
            <w:r>
              <w:fldChar w:fldCharType="separate"/>
            </w:r>
            <w:r>
              <w:t>6</w:t>
            </w:r>
            <w:r>
              <w:fldChar w:fldCharType="end"/>
            </w:r>
          </w:hyperlink>
        </w:p>
        <w:p>
          <w:pPr>
            <w:pStyle w:val="9"/>
            <w:tabs>
              <w:tab w:val="right" w:leader="dot" w:pos="9026"/>
            </w:tabs>
            <w:spacing w:before="120" w:after="60"/>
          </w:pPr>
          <w:hyperlink w:anchor="_Toc100015" w:history="1">
            <w:r>
              <w:rPr>
                <w:rStyle w:val="Hyperlink"/>
              </w:rPr>
              <w:t>第五章  逐主题对比分析与建议</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5.1 定位与产品边界（A01/03/04）</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5.2 客户主数据治理（A02/06/11）</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5.3 文档与全文检索（A07）</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5.4 计费与财务（A08，重评 C05）</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5.5 期限与提醒（A09）</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5.6 权限与安全（A12/13，重评 C03/C07）</w:t>
            </w:r>
            <w:r>
              <w:tab/>
            </w:r>
            <w:r>
              <w:fldChar w:fldCharType="begin"/>
            </w:r>
            <w:r>
              <w:instrText xml:space="preserve"> PAGEREF _Toc100021 \h </w:instrText>
            </w:r>
            <w:r>
              <w:fldChar w:fldCharType="separate"/>
            </w:r>
            <w:r>
              <w:t>9</w:t>
            </w:r>
            <w:r>
              <w:fldChar w:fldCharType="end"/>
            </w:r>
          </w:hyperlink>
        </w:p>
        <w:p>
          <w:pPr>
            <w:pStyle w:val="11"/>
            <w:ind w:left="360"/>
            <w:tabs>
              <w:tab w:val="right" w:leader="dot" w:pos="9026"/>
            </w:tabs>
            <w:spacing w:before="120" w:after="60"/>
          </w:pPr>
          <w:hyperlink w:anchor="_Toc100022" w:history="1">
            <w:r>
              <w:rPr>
                <w:rStyle w:val="Hyperlink"/>
              </w:rPr>
              <w:t>5.7 集成与外部同步（A14）</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5.8 案件生命周期与架构（A05/10）</w:t>
            </w:r>
            <w:r>
              <w:tab/>
            </w:r>
            <w:r>
              <w:fldChar w:fldCharType="begin"/>
            </w:r>
            <w:r>
              <w:instrText xml:space="preserve"> PAGEREF _Toc100023 \h </w:instrText>
            </w:r>
            <w:r>
              <w:fldChar w:fldCharType="separate"/>
            </w:r>
            <w:r>
              <w:t>9</w:t>
            </w:r>
            <w:r>
              <w:fldChar w:fldCharType="end"/>
            </w:r>
          </w:hyperlink>
        </w:p>
        <w:p>
          <w:pPr>
            <w:pStyle w:val="9"/>
            <w:tabs>
              <w:tab w:val="right" w:leader="dot" w:pos="9026"/>
            </w:tabs>
            <w:spacing w:before="120" w:after="60"/>
          </w:pPr>
          <w:hyperlink w:anchor="_Toc100024" w:history="1">
            <w:r>
              <w:rPr>
                <w:rStyle w:val="Hyperlink"/>
              </w:rPr>
              <w:t>第六章  领域模型演进方向</w:t>
            </w:r>
            <w:r>
              <w:tab/>
            </w:r>
            <w:r>
              <w:fldChar w:fldCharType="begin"/>
            </w:r>
            <w:r>
              <w:instrText xml:space="preserve"> PAGEREF _Toc100024 \h </w:instrText>
            </w:r>
            <w:r>
              <w:fldChar w:fldCharType="separate"/>
            </w:r>
            <w:r>
              <w:t>10</w:t>
            </w:r>
            <w:r>
              <w:fldChar w:fldCharType="end"/>
            </w:r>
          </w:hyperlink>
        </w:p>
        <w:p>
          <w:pPr>
            <w:pStyle w:val="11"/>
            <w:ind w:left="360"/>
            <w:tabs>
              <w:tab w:val="right" w:leader="dot" w:pos="9026"/>
            </w:tabs>
            <w:spacing w:before="120" w:after="60"/>
          </w:pPr>
          <w:hyperlink w:anchor="_Toc100025" w:history="1">
            <w:r>
              <w:rPr>
                <w:rStyle w:val="Hyperlink"/>
              </w:rPr>
              <w:t>6.1 重评报告证据核查结论</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6.2 五对象目标模型</w:t>
            </w:r>
            <w:r>
              <w:tab/>
            </w:r>
            <w:r>
              <w:fldChar w:fldCharType="begin"/>
            </w:r>
            <w:r>
              <w:instrText xml:space="preserve"> PAGEREF _Toc100026 \h </w:instrText>
            </w:r>
            <w:r>
              <w:fldChar w:fldCharType="separate"/>
            </w:r>
            <w:r>
              <w:t>10</w:t>
            </w:r>
            <w:r>
              <w:fldChar w:fldCharType="end"/>
            </w:r>
          </w:hyperlink>
        </w:p>
        <w:p>
          <w:pPr>
            <w:pStyle w:val="11"/>
            <w:ind w:left="360"/>
            <w:tabs>
              <w:tab w:val="right" w:leader="dot" w:pos="9026"/>
            </w:tabs>
            <w:spacing w:before="120" w:after="60"/>
          </w:pPr>
          <w:hyperlink w:anchor="_Toc100027" w:history="1">
            <w:r>
              <w:rPr>
                <w:rStyle w:val="Hyperlink"/>
              </w:rPr>
              <w:t>6.3 材料出处链与事实观点分离</w:t>
            </w:r>
            <w:r>
              <w:tab/>
            </w:r>
            <w:r>
              <w:fldChar w:fldCharType="begin"/>
            </w:r>
            <w:r>
              <w:instrText xml:space="preserve"> PAGEREF _Toc100027 \h </w:instrText>
            </w:r>
            <w:r>
              <w:fldChar w:fldCharType="separate"/>
            </w:r>
            <w:r>
              <w:t>11</w:t>
            </w:r>
            <w:r>
              <w:fldChar w:fldCharType="end"/>
            </w:r>
          </w:hyperlink>
        </w:p>
        <w:p>
          <w:pPr>
            <w:pStyle w:val="11"/>
            <w:ind w:left="360"/>
            <w:tabs>
              <w:tab w:val="right" w:leader="dot" w:pos="9026"/>
            </w:tabs>
            <w:spacing w:before="120" w:after="60"/>
          </w:pPr>
          <w:hyperlink w:anchor="_Toc100028" w:history="1">
            <w:r>
              <w:rPr>
                <w:rStyle w:val="Hyperlink"/>
              </w:rPr>
              <w:t>6.4 状态轴分离与三个时钟</w:t>
            </w:r>
            <w:r>
              <w:tab/>
            </w:r>
            <w:r>
              <w:fldChar w:fldCharType="begin"/>
            </w:r>
            <w:r>
              <w:instrText xml:space="preserve"> PAGEREF _Toc100028 \h </w:instrText>
            </w:r>
            <w:r>
              <w:fldChar w:fldCharType="separate"/>
            </w:r>
            <w:r>
              <w:t>11</w:t>
            </w:r>
            <w:r>
              <w:fldChar w:fldCharType="end"/>
            </w:r>
          </w:hyperlink>
        </w:p>
        <w:p>
          <w:pPr>
            <w:pStyle w:val="11"/>
            <w:ind w:left="360"/>
            <w:tabs>
              <w:tab w:val="right" w:leader="dot" w:pos="9026"/>
            </w:tabs>
            <w:spacing w:before="120" w:after="60"/>
          </w:pPr>
          <w:hyperlink w:anchor="_Toc100029" w:history="1">
            <w:r>
              <w:rPr>
                <w:rStyle w:val="Hyperlink"/>
              </w:rPr>
              <w:t>6.5 可靠性工程</w:t>
            </w:r>
            <w:r>
              <w:tab/>
            </w:r>
            <w:r>
              <w:fldChar w:fldCharType="begin"/>
            </w:r>
            <w:r>
              <w:instrText xml:space="preserve"> PAGEREF _Toc100029 \h </w:instrText>
            </w:r>
            <w:r>
              <w:fldChar w:fldCharType="separate"/>
            </w:r>
            <w:r>
              <w:t>12</w:t>
            </w:r>
            <w:r>
              <w:fldChar w:fldCharType="end"/>
            </w:r>
          </w:hyperlink>
        </w:p>
        <w:p>
          <w:pPr>
            <w:pStyle w:val="11"/>
            <w:ind w:left="360"/>
            <w:tabs>
              <w:tab w:val="right" w:leader="dot" w:pos="9026"/>
            </w:tabs>
            <w:spacing w:before="120" w:after="60"/>
          </w:pPr>
          <w:hyperlink w:anchor="_Toc100030" w:history="1">
            <w:r>
              <w:rPr>
                <w:rStyle w:val="Hyperlink"/>
              </w:rPr>
              <w:t>6.6 重构范围的判断框架</w:t>
            </w:r>
            <w:r>
              <w:tab/>
            </w:r>
            <w:r>
              <w:fldChar w:fldCharType="begin"/>
            </w:r>
            <w:r>
              <w:instrText xml:space="preserve"> PAGEREF _Toc100030 \h </w:instrText>
            </w:r>
            <w:r>
              <w:fldChar w:fldCharType="separate"/>
            </w:r>
            <w:r>
              <w:t>12</w:t>
            </w:r>
            <w:r>
              <w:fldChar w:fldCharType="end"/>
            </w:r>
          </w:hyperlink>
        </w:p>
        <w:p>
          <w:pPr>
            <w:pStyle w:val="9"/>
            <w:tabs>
              <w:tab w:val="right" w:leader="dot" w:pos="9026"/>
            </w:tabs>
            <w:spacing w:before="120" w:after="60"/>
          </w:pPr>
          <w:hyperlink w:anchor="_Toc100031" w:history="1">
            <w:r>
              <w:rPr>
                <w:rStyle w:val="Hyperlink"/>
              </w:rPr>
              <w:t>第七章  改进路线图</w:t>
            </w:r>
            <w:r>
              <w:tab/>
            </w:r>
            <w:r>
              <w:fldChar w:fldCharType="begin"/>
            </w:r>
            <w:r>
              <w:instrText xml:space="preserve"> PAGEREF _Toc100031 \h </w:instrText>
            </w:r>
            <w:r>
              <w:fldChar w:fldCharType="separate"/>
            </w:r>
            <w:r>
              <w:t>12</w:t>
            </w:r>
            <w:r>
              <w:fldChar w:fldCharType="end"/>
            </w:r>
          </w:hyperlink>
        </w:p>
        <w:p>
          <w:pPr>
            <w:pStyle w:val="9"/>
            <w:tabs>
              <w:tab w:val="right" w:leader="dot" w:pos="9026"/>
            </w:tabs>
            <w:spacing w:before="120" w:after="60"/>
          </w:pPr>
          <w:hyperlink w:anchor="_Toc100032" w:history="1">
            <w:r>
              <w:rPr>
                <w:rStyle w:val="Hyperlink"/>
              </w:rPr>
              <w:t>第八章  制度级决策事项</w:t>
            </w:r>
            <w:r>
              <w:tab/>
            </w:r>
            <w:r>
              <w:fldChar w:fldCharType="begin"/>
            </w:r>
            <w:r>
              <w:instrText xml:space="preserve"> PAGEREF _Toc100032 \h </w:instrText>
            </w:r>
            <w:r>
              <w:fldChar w:fldCharType="separate"/>
            </w:r>
            <w:r>
              <w:t>13</w:t>
            </w:r>
            <w:r>
              <w:fldChar w:fldCharType="end"/>
            </w:r>
          </w:hyperlink>
        </w:p>
        <w:p>
          <w:pPr>
            <w:pStyle w:val="9"/>
            <w:tabs>
              <w:tab w:val="right" w:leader="dot" w:pos="9026"/>
            </w:tabs>
            <w:spacing w:before="120" w:after="60"/>
          </w:pPr>
          <w:hyperlink w:anchor="_Toc100033" w:history="1">
            <w:r>
              <w:rPr>
                <w:rStyle w:val="Hyperlink"/>
              </w:rPr>
              <w:t>第九章  明确不做与暂缓清单</w:t>
            </w:r>
            <w:r>
              <w:tab/>
            </w:r>
            <w:r>
              <w:fldChar w:fldCharType="begin"/>
            </w:r>
            <w:r>
              <w:instrText xml:space="preserve"> PAGEREF _Toc100033 \h </w:instrText>
            </w:r>
            <w:r>
              <w:fldChar w:fldCharType="separate"/>
            </w:r>
            <w:r>
              <w:t>13</w:t>
            </w:r>
            <w:r>
              <w:fldChar w:fldCharType="end"/>
            </w:r>
          </w:hyperlink>
        </w:p>
        <w:p>
          <w:pPr>
            <w:pStyle w:val="9"/>
            <w:tabs>
              <w:tab w:val="right" w:leader="dot" w:pos="9026"/>
            </w:tabs>
            <w:spacing w:before="120" w:after="60"/>
          </w:pPr>
          <w:hyperlink w:anchor="_Toc100034" w:history="1">
            <w:r>
              <w:rPr>
                <w:rStyle w:val="Hyperlink"/>
              </w:rPr>
              <w:t>第十章  验收标准与风险提示</w:t>
            </w:r>
            <w:r>
              <w:tab/>
            </w:r>
            <w:r>
              <w:fldChar w:fldCharType="begin"/>
            </w:r>
            <w:r>
              <w:instrText xml:space="preserve"> PAGEREF _Toc100034 \h </w:instrText>
            </w:r>
            <w:r>
              <w:fldChar w:fldCharType="separate"/>
            </w:r>
            <w:r>
              <w:t>14</w:t>
            </w:r>
            <w:r>
              <w:fldChar w:fldCharType="end"/>
            </w:r>
          </w:hyperlink>
        </w:p>
        <w:p>
          <w:pPr>
            <w:pStyle w:val="11"/>
            <w:ind w:left="360"/>
            <w:tabs>
              <w:tab w:val="right" w:leader="dot" w:pos="9026"/>
            </w:tabs>
            <w:spacing w:before="120" w:after="60"/>
          </w:pPr>
          <w:hyperlink w:anchor="_Toc100035" w:history="1">
            <w:r>
              <w:rPr>
                <w:rStyle w:val="Hyperlink"/>
              </w:rPr>
              <w:t>10.1 分层验收门槛</w:t>
            </w:r>
            <w:r>
              <w:tab/>
            </w:r>
            <w:r>
              <w:fldChar w:fldCharType="begin"/>
            </w:r>
            <w:r>
              <w:instrText xml:space="preserve"> PAGEREF _Toc100035 \h </w:instrText>
            </w:r>
            <w:r>
              <w:fldChar w:fldCharType="separate"/>
            </w:r>
            <w:r>
              <w:t>14</w:t>
            </w:r>
            <w:r>
              <w:fldChar w:fldCharType="end"/>
            </w:r>
          </w:hyperlink>
        </w:p>
        <w:p>
          <w:pPr>
            <w:pStyle w:val="11"/>
            <w:ind w:left="360"/>
            <w:tabs>
              <w:tab w:val="right" w:leader="dot" w:pos="9026"/>
            </w:tabs>
            <w:spacing w:before="120" w:after="60"/>
          </w:pPr>
          <w:hyperlink w:anchor="_Toc100036" w:history="1">
            <w:r>
              <w:rPr>
                <w:rStyle w:val="Hyperlink"/>
              </w:rPr>
              <w:t>10.2 风险与敏感性</w:t>
            </w:r>
            <w:r>
              <w:tab/>
            </w:r>
            <w:r>
              <w:fldChar w:fldCharType="begin"/>
            </w:r>
            <w:r>
              <w:instrText xml:space="preserve"> PAGEREF _Toc100036 \h </w:instrText>
            </w:r>
            <w:r>
              <w:fldChar w:fldCharType="separate"/>
            </w:r>
            <w:r>
              <w:t>15</w:t>
            </w:r>
            <w:r>
              <w:fldChar w:fldCharType="end"/>
            </w:r>
          </w:hyperlink>
        </w:p>
        <w:p>
          <w:pPr>
            <w:pStyle w:val="9"/>
            <w:tabs>
              <w:tab w:val="right" w:leader="dot" w:pos="9026"/>
            </w:tabs>
            <w:spacing w:before="120" w:after="60"/>
          </w:pPr>
          <w:hyperlink w:anchor="_Toc100037" w:history="1">
            <w:r>
              <w:rPr>
                <w:rStyle w:val="Hyperlink"/>
              </w:rPr>
              <w:t>附录 A  参考文章清单</w:t>
            </w:r>
            <w:r>
              <w:tab/>
            </w:r>
            <w:r>
              <w:fldChar w:fldCharType="begin"/>
            </w:r>
            <w:r>
              <w:instrText xml:space="preserve"> PAGEREF _Toc100037 \h </w:instrText>
            </w:r>
            <w:r>
              <w:fldChar w:fldCharType="separate"/>
            </w:r>
            <w:r>
              <w:t>15</w:t>
            </w:r>
            <w:r>
              <w:fldChar w:fldCharType="end"/>
            </w:r>
          </w:hyperlink>
        </w:p>
        <w:p>
          <w:pPr>
            <w:pStyle w:val="9"/>
            <w:tabs>
              <w:tab w:val="right" w:leader="dot" w:pos="9026"/>
            </w:tabs>
            <w:spacing w:before="120" w:after="60"/>
          </w:pPr>
          <w:hyperlink w:anchor="_Toc100038" w:history="1">
            <w:r>
              <w:rPr>
                <w:rStyle w:val="Hyperlink"/>
              </w:rPr>
              <w:t>附录 B  代码证据核查记录</w:t>
            </w:r>
            <w:r>
              <w:tab/>
            </w:r>
            <w:r>
              <w:fldChar w:fldCharType="begin"/>
            </w:r>
            <w:r>
              <w:instrText xml:space="preserve"> PAGEREF _Toc100038 \h </w:instrText>
            </w:r>
            <w:r>
              <w:fldChar w:fldCharType="separate"/>
            </w:r>
            <w:r>
              <w:t>16</w:t>
            </w:r>
            <w:r>
              <w:fldChar w:fldCharType="end"/>
            </w:r>
          </w:hyperlink>
        </w:p>
        <w:p>
          <w:r>
            <w:fldChar w:fldCharType="end"/>
          </w:r>
        </w:p>
      </w:sdtContent>
    </w:sdt>
    <w:p>
      <w:pPr>
        <w:spacing w:before="200"/>
      </w:pPr>
      <w:r>
        <w:rPr>
          <w:i/>
          <w:iCs/>
          <w:color w:val="888888"/>
          <w:sz w:val="18"/>
          <w:szCs w:val="18"/>
          <w:rFonts w:ascii="Times New Roman" w:eastAsia="SimSun"/>
        </w:rPr>
        <w:t xml:space="preserve">注：本目录由域代码生成。文档编辑后如需刷新页码，请在目录上点击右键并选择“更新域”。</w:t>
      </w:r>
    </w:p>
    <w:p>
      <w:pPr>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p>
    <w:p>
      <w:pPr>
        <w:pStyle w:val="Heading1"/>
        <w:keepNext/>
        <w:spacing w:before="400" w:after="180" w:line="380" w:lineRule="atLeast"/>
      </w:pPr>
      <w:bookmarkStart w:id="100000" w:name="_Toc100000"/>
      <w:r>
        <w:rPr>
          <w:b/>
          <w:bCs/>
          <w:color w:val="2A4A3A"/>
          <w:sz w:val="32"/>
          <w:szCs w:val="32"/>
          <w:rFonts w:ascii="Times New Roman" w:eastAsia="SimHei"/>
        </w:rPr>
        <w:t xml:space="preserve">第一章  评估背景、材料与方法</w:t>
      </w:r>
      <w:bookmarkEnd w:id="100000"/>
    </w:p>
    <w:p>
      <w:pPr>
        <w:pStyle w:val="Heading2"/>
        <w:keepNext/>
        <w:spacing w:before="280" w:after="120" w:line="350" w:lineRule="atLeast"/>
      </w:pPr>
      <w:bookmarkStart w:id="100001" w:name="_Toc100001"/>
      <w:r>
        <w:rPr>
          <w:b/>
          <w:bCs/>
          <w:color w:val="2A4A3A"/>
          <w:sz w:val="28"/>
          <w:szCs w:val="28"/>
          <w:rFonts w:ascii="Times New Roman" w:eastAsia="SimHei"/>
        </w:rPr>
        <w:t xml:space="preserve">1.1 背景与目的</w:t>
      </w:r>
      <w:bookmarkEnd w:id="100001"/>
    </w:p>
    <w:p>
      <w:pPr>
        <w:spacing w:line="312" w:after="60"/>
        <w:ind w:firstLine="480"/>
        <w:jc w:val="both"/>
      </w:pPr>
      <w:r>
        <w:rPr>
          <w:b w:val="false"/>
          <w:bCs w:val="false"/>
          <w:color w:val="000000"/>
          <w:sz w:val="24"/>
          <w:szCs w:val="24"/>
          <w:rFonts w:ascii="Times New Roman" w:eastAsia="SimSun"/>
        </w:rPr>
        <w:t xml:space="preserve">LawLink 是面向独立律师与小型团队的开源、自部署案件管理系统，主线流程为收案登记、冲突检索、转正式案件、持续跟进、财务记录、结案归档与数据导出，技术栈为 Next.js 16、React 19、Prisma 5 与 PostgreSQL 16，单所单实例部署。项目已演进至 1.x 版本，具备完整的审批、团队、角色与证件管理体系。</w:t>
      </w:r>
    </w:p>
    <w:p>
      <w:pPr>
        <w:spacing w:line="312" w:after="60"/>
        <w:ind w:firstLine="480"/>
        <w:jc w:val="both"/>
      </w:pPr>
      <w:r>
        <w:rPr>
          <w:b w:val="false"/>
          <w:bCs w:val="false"/>
          <w:color w:val="000000"/>
          <w:sz w:val="24"/>
          <w:szCs w:val="24"/>
          <w:rFonts w:ascii="Times New Roman" w:eastAsia="SimSun"/>
        </w:rPr>
        <w:t xml:space="preserve">本次评估的目的：吸收外部行业文章的方法论与功能参照，结合一份独立重评报告对领域模型的质疑，形成一份不受既有实现约束、但符合产品定位的改进建议清单，供决策者判断取舍并安排排期。评估立场是“更合适、更好”而非“更多”：一切建议以独立律师与小团队的真实工作负荷为尺度。既有定位、模型、制度与实现均纳入重新评估，是否保留由比较和验证决定。</w:t>
      </w:r>
    </w:p>
    <w:p>
      <w:pPr>
        <w:pStyle w:val="Heading2"/>
        <w:keepNext/>
        <w:spacing w:before="280" w:after="120" w:line="350" w:lineRule="atLeast"/>
      </w:pPr>
      <w:bookmarkStart w:id="100002" w:name="_Toc100002"/>
      <w:r>
        <w:rPr>
          <w:b/>
          <w:bCs/>
          <w:color w:val="2A4A3A"/>
          <w:sz w:val="28"/>
          <w:szCs w:val="28"/>
          <w:rFonts w:ascii="Times New Roman" w:eastAsia="SimHei"/>
        </w:rPr>
        <w:t xml:space="preserve">1.2 输入材料与证据等级</w:t>
      </w:r>
      <w:bookmarkEnd w:id="100002"/>
    </w:p>
    <w:p>
      <w:pPr>
        <w:spacing w:line="312" w:after="60"/>
        <w:ind w:firstLine="480"/>
        <w:jc w:val="both"/>
      </w:pPr>
      <w:r>
        <w:rPr>
          <w:b w:val="false"/>
          <w:bCs w:val="false"/>
          <w:color w:val="000000"/>
          <w:sz w:val="24"/>
          <w:szCs w:val="24"/>
          <w:rFonts w:ascii="Times New Roman" w:eastAsia="SimSun"/>
        </w:rPr>
        <w:t xml:space="preserve">本次分析共使用三份输入材料，性质与可信度不同，故在引用时区分证据等级，见表 1-1。</w:t>
      </w:r>
    </w:p>
    <w:p>
      <w:pPr>
        <w:keepNext/>
        <w:spacing w:before="240" w:after="80" w:line="312"/>
        <w:jc w:val="center"/>
      </w:pPr>
      <w:r>
        <w:rPr>
          <w:b/>
          <w:bCs/>
          <w:color w:val="2A4A3A"/>
          <w:sz w:val="21"/>
          <w:szCs w:val="21"/>
          <w:rFonts w:ascii="Times New Roman" w:eastAsia="SimHei"/>
        </w:rPr>
        <w:t xml:space="preserve">表 1-1  输入材料与证据等级</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tblGrid>
      <w:tr>
        <w:trPr>
          <w:cantSplit/>
          <w:tblHeader/>
        </w:trPr>
        <w:tc>
          <w:tcPr>
            <w:tcW w:type="pct" w:w="1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材料</w:t>
            </w:r>
          </w:p>
        </w:tc>
        <w:tc>
          <w:tcPr>
            <w:tcW w:type="pct" w:w="50%"/>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说明</w:t>
            </w:r>
          </w:p>
        </w:tc>
        <w:tc>
          <w:tcPr>
            <w:tcW w:type="pct" w:w="3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证据等级</w:t>
            </w:r>
          </w:p>
        </w:tc>
      </w:tr>
      <w:tr>
        <w:trPr>
          <w:cantSplit/>
          <w:tblHeader w:val="false"/>
        </w:trPr>
        <w:tc>
          <w:tcPr>
            <w:tcW w:type="pct" w:w="1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 系列文章</w:t>
            </w:r>
          </w:p>
        </w:tc>
        <w:tc>
          <w:tcPr>
            <w:tcW w:type="pct" w:w="5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公众号“盲盒系统开发源码分享”14 篇，2026 年 9 月 11 日至 13 日发布，约 5.7 万字，覆盖定位选型、业务模块与平台工程</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设计素材；含营销性质表述，已甄别后引用</w:t>
            </w:r>
          </w:p>
        </w:tc>
      </w:tr>
      <w:tr>
        <w:trPr>
          <w:cantSplit/>
          <w:tblHeader w:val="false"/>
        </w:trPr>
        <w:tc>
          <w:tcPr>
            <w:tcW w:type="pct" w:w="1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B 项目现状</w:t>
            </w:r>
          </w:p>
        </w:tc>
        <w:tc>
          <w:tcPr>
            <w:tcW w:type="pct" w:w="5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docs 目录下 PRD、DATA-MODEL、ROADMAP，prisma/schema.prisma（约 60 个 model、50 个 enum），src 目录模块结构与测试</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事实基准；关键点已在数据库结构与代码层静态核查</w:t>
            </w:r>
          </w:p>
        </w:tc>
      </w:tr>
      <w:tr>
        <w:trPr>
          <w:cantSplit/>
          <w:tblHeader w:val="false"/>
        </w:trPr>
        <w:tc>
          <w:tcPr>
            <w:tcW w:type="pct" w:w="1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 重评报告</w:t>
            </w:r>
          </w:p>
        </w:tc>
        <w:tc>
          <w:tcPr>
            <w:tcW w:type="pct" w:w="5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独立第一性原理重评，主张领域模型系统性重构，附 C01 至 C07 代码证据</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判断输入；其代码证据经静态核查与描述相符</w:t>
            </w:r>
          </w:p>
        </w:tc>
      </w:tr>
    </w:tbl>
    <w:p>
      <w:pPr>
        <w:pStyle w:val="Heading2"/>
        <w:keepNext/>
        <w:spacing w:before="280" w:after="120" w:line="350" w:lineRule="atLeast"/>
      </w:pPr>
      <w:bookmarkStart w:id="100003" w:name="_Toc100003"/>
      <w:r>
        <w:rPr>
          <w:b/>
          <w:bCs/>
          <w:color w:val="2A4A3A"/>
          <w:sz w:val="28"/>
          <w:szCs w:val="28"/>
          <w:rFonts w:ascii="Times New Roman" w:eastAsia="SimHei"/>
        </w:rPr>
        <w:t xml:space="preserve">1.3 方法、边界与版本说明</w:t>
      </w:r>
      <w:bookmarkEnd w:id="100003"/>
    </w:p>
    <w:p>
      <w:pPr>
        <w:spacing w:line="312" w:after="60"/>
        <w:ind w:firstLine="480"/>
        <w:jc w:val="both"/>
      </w:pPr>
      <w:r>
        <w:rPr>
          <w:b w:val="false"/>
          <w:bCs w:val="false"/>
          <w:color w:val="000000"/>
          <w:sz w:val="24"/>
          <w:szCs w:val="24"/>
          <w:rFonts w:ascii="Times New Roman" w:eastAsia="SimSun"/>
        </w:rPr>
        <w:t xml:space="preserve">方法分三步：第一步逐篇提炼 14 篇文章的论点、机制与建议；第二步盘点 LawLink 的产品定位、数据模型、功能模块与治理体系；第三步对两份材料交叉验证，所有影响结论的事实均下探到数据库结构或代码层核对。凡涉及能力完整性的描述，均区分三个层次：数据库字段存在、实际业务路径已实现、能力仍待验证，不作混同表述。</w:t>
      </w:r>
    </w:p>
    <w:p>
      <w:pPr>
        <w:spacing w:line="312" w:after="60"/>
        <w:ind w:firstLine="480"/>
        <w:jc w:val="both"/>
      </w:pPr>
      <w:r>
        <w:rPr>
          <w:b w:val="false"/>
          <w:bCs w:val="false"/>
          <w:color w:val="000000"/>
          <w:sz w:val="24"/>
          <w:szCs w:val="24"/>
          <w:rFonts w:ascii="Times New Roman" w:eastAsia="SimSun"/>
        </w:rPr>
        <w:t xml:space="preserve">边界有四条。本次未执行渗透测试、恢复演练或全量业务回归，相关结论以静态核查为限；本报告不构成任何数据库迁移或制度变更的执行授权，涉及红线事项仍须单独确认；凡触及工作区制度文件 AGENTS.md 所载设计的建议，一律归入第八章的制度级决策清单，先修订制度再实施；文章中的营销性内容仅作素材，不构成对任何商业产品优劣的认定。</w:t>
      </w:r>
    </w:p>
    <w:p>
      <w:pPr>
        <w:spacing w:line="312" w:after="60"/>
        <w:ind w:firstLine="480"/>
        <w:jc w:val="both"/>
      </w:pPr>
      <w:r>
        <w:rPr>
          <w:b w:val="false"/>
          <w:bCs w:val="false"/>
          <w:color w:val="000000"/>
          <w:sz w:val="24"/>
          <w:szCs w:val="24"/>
          <w:rFonts w:ascii="Times New Roman" w:eastAsia="SimSun"/>
        </w:rPr>
        <w:t xml:space="preserve">本报告为第二版，已依据 2026 年 9 月 13 日的内容审阅更正意见修订十项内容：评估标准表述、软删除唯一约束技术方案、提醒现状描述、文档版本能力描述、权限测试现状、财务缺口定位、检索方案边界、路线图依赖与工期依据、共享水印升级通知的对象边界、重构范围与工期判断。修订要点已并入正文相应章节。</w:t>
      </w:r>
    </w:p>
    <w:p>
      <w:pPr>
        <w:pStyle w:val="Heading1"/>
        <w:keepNext/>
        <w:spacing w:before="400" w:after="180" w:line="380" w:lineRule="atLeast"/>
      </w:pPr>
      <w:bookmarkStart w:id="100004" w:name="_Toc100004"/>
      <w:r>
        <w:rPr>
          <w:b/>
          <w:bCs/>
          <w:color w:val="2A4A3A"/>
          <w:sz w:val="32"/>
          <w:szCs w:val="32"/>
          <w:rFonts w:ascii="Times New Roman" w:eastAsia="SimHei"/>
        </w:rPr>
        <w:t xml:space="preserve">第二章  总体结论</w:t>
      </w:r>
      <w:bookmarkEnd w:id="100004"/>
    </w:p>
    <w:p>
      <w:pPr>
        <w:pStyle w:val="Heading2"/>
        <w:keepNext/>
        <w:spacing w:before="280" w:after="120" w:line="350" w:lineRule="atLeast"/>
      </w:pPr>
      <w:bookmarkStart w:id="100005" w:name="_Toc100005"/>
      <w:r>
        <w:rPr>
          <w:b/>
          <w:bCs/>
          <w:color w:val="2A4A3A"/>
          <w:sz w:val="28"/>
          <w:szCs w:val="28"/>
          <w:rFonts w:ascii="Times New Roman" w:eastAsia="SimHei"/>
        </w:rPr>
        <w:t xml:space="preserve">2.1 四条核心判断</w:t>
      </w:r>
      <w:bookmarkEnd w:id="100005"/>
    </w:p>
    <w:p>
      <w:pPr>
        <w:spacing w:line="312" w:after="60"/>
        <w:ind w:firstLine="480"/>
        <w:jc w:val="both"/>
      </w:pPr>
      <w:r>
        <w:rPr>
          <w:b/>
          <w:bCs/>
          <w:color w:val="000000"/>
          <w:sz w:val="24"/>
          <w:szCs w:val="24"/>
          <w:rFonts w:ascii="Times New Roman" w:eastAsia="SimSun"/>
        </w:rPr>
        <w:t xml:space="preserve">判断一：主线领先，不为对齐文章而削弱。</w:t>
      </w:r>
      <w:r>
        <w:rPr>
          <w:b w:val="false"/>
          <w:bCs w:val="false"/>
          <w:color w:val="000000"/>
          <w:sz w:val="24"/>
          <w:szCs w:val="24"/>
          <w:rFonts w:ascii="Times New Roman" w:eastAsia="SimSun"/>
        </w:rPr>
        <w:t xml:space="preserve">LawLink 的收案、冲突检索、程序工作台、统一审批、归档校验链路，以及带法条核验信息的期限规则库，精细度超过文章描述的行业通用模型；文章的部分设计（如账单快照、五级提醒）值得吸收，但均可在现有模型上增量实现。</w:t>
      </w:r>
    </w:p>
    <w:p>
      <w:pPr>
        <w:spacing w:line="312" w:after="60"/>
        <w:ind w:firstLine="480"/>
        <w:jc w:val="both"/>
      </w:pPr>
      <w:r>
        <w:rPr>
          <w:b/>
          <w:bCs/>
          <w:color w:val="000000"/>
          <w:sz w:val="24"/>
          <w:szCs w:val="24"/>
          <w:rFonts w:ascii="Times New Roman" w:eastAsia="SimSun"/>
        </w:rPr>
        <w:t xml:space="preserve">判断二：差距在工程纪律而非功能数量。</w:t>
      </w:r>
      <w:r>
        <w:rPr>
          <w:b w:val="false"/>
          <w:bCs w:val="false"/>
          <w:color w:val="000000"/>
          <w:sz w:val="24"/>
          <w:szCs w:val="24"/>
          <w:rFonts w:ascii="Times New Roman" w:eastAsia="SimSun"/>
        </w:rPr>
        <w:t xml:space="preserve">静态核查后最薄弱的几处是：文档无文本层与全文检索，且普通上传路径未形成版本链；收付记录存在物理删除入口，已确认记录缺少保护与关联更正机制；期限提醒已有四档固定扫描，但自定义提醒配置与执行未打通，且缺少投递重试、停机补偿与责任升级闭环；客户证件号明文存储且无唯一约束；登录无失败锁定、无双步验证；外部调用无台账、成本不可见。</w:t>
      </w:r>
    </w:p>
    <w:p>
      <w:pPr>
        <w:spacing w:line="312" w:after="60"/>
        <w:ind w:firstLine="480"/>
        <w:jc w:val="both"/>
      </w:pPr>
      <w:r>
        <w:rPr>
          <w:b/>
          <w:bCs/>
          <w:color w:val="000000"/>
          <w:sz w:val="24"/>
          <w:szCs w:val="24"/>
          <w:rFonts w:ascii="Times New Roman" w:eastAsia="SimSun"/>
        </w:rPr>
        <w:t xml:space="preserve">判断三：领域模型缺口成立，重构范围待样例验证。</w:t>
      </w:r>
      <w:r>
        <w:rPr>
          <w:b w:val="false"/>
          <w:bCs w:val="false"/>
          <w:color w:val="000000"/>
          <w:sz w:val="24"/>
          <w:szCs w:val="24"/>
          <w:rFonts w:ascii="Times New Roman" w:eastAsia="SimSun"/>
        </w:rPr>
        <w:t xml:space="preserve">重评报告指出案件实体同时承载委托、工作事项与程序三重语义，关联案件仅有裸双端标识，材料缺乏页级出处，这些在代码层均得到证实。目标模型应作为中长期演进方向；先确定目标模型，再以同等验收要求比较复用与重建，不预设增量或重写结论。</w:t>
      </w:r>
    </w:p>
    <w:p>
      <w:pPr>
        <w:spacing w:line="312" w:after="60"/>
        <w:ind w:firstLine="480"/>
        <w:jc w:val="both"/>
      </w:pPr>
      <w:r>
        <w:rPr>
          <w:b/>
          <w:bCs/>
          <w:color w:val="000000"/>
          <w:sz w:val="24"/>
          <w:szCs w:val="24"/>
          <w:rFonts w:ascii="Times New Roman" w:eastAsia="SimSun"/>
        </w:rPr>
        <w:t xml:space="preserve">判断四：制度设计纳入重评，先修订再实施。</w:t>
      </w:r>
      <w:r>
        <w:rPr>
          <w:b w:val="false"/>
          <w:bCs w:val="false"/>
          <w:color w:val="000000"/>
          <w:sz w:val="24"/>
          <w:szCs w:val="24"/>
          <w:rFonts w:ascii="Times New Roman" w:eastAsia="SimSun"/>
        </w:rPr>
        <w:t xml:space="preserve">重评报告关于团队历史访问默认、建号必传证件照片、普遍审批模式的三处建议触及现行制度。这些设计是否保留，由其适用条件、业务价值、风险与维护负担的比较结果决定，不因既往确认而免于评价；制度变更须先修订制度文件再实施，程序要求不替代比较论证本身，详见第八章。</w:t>
      </w:r>
    </w:p>
    <w:p>
      <w:pPr>
        <w:pStyle w:val="Heading2"/>
        <w:keepNext/>
        <w:spacing w:before="280" w:after="120" w:line="350" w:lineRule="atLeast"/>
      </w:pPr>
      <w:bookmarkStart w:id="100006" w:name="_Toc100006"/>
      <w:r>
        <w:rPr>
          <w:b/>
          <w:bCs/>
          <w:color w:val="2A4A3A"/>
          <w:sz w:val="28"/>
          <w:szCs w:val="28"/>
          <w:rFonts w:ascii="Times New Roman" w:eastAsia="SimHei"/>
        </w:rPr>
        <w:t xml:space="preserve">2.2 主题总览对比</w:t>
      </w:r>
      <w:bookmarkEnd w:id="100006"/>
    </w:p>
    <w:p>
      <w:pPr>
        <w:spacing w:line="312" w:after="60"/>
        <w:ind w:firstLine="480"/>
        <w:jc w:val="both"/>
      </w:pPr>
      <w:r>
        <w:rPr>
          <w:b w:val="false"/>
          <w:bCs w:val="false"/>
          <w:color w:val="000000"/>
          <w:sz w:val="24"/>
          <w:szCs w:val="24"/>
          <w:rFonts w:ascii="Times New Roman" w:eastAsia="SimSun"/>
        </w:rPr>
        <w:t xml:space="preserve">表 2-1 按九个维度汇总文章与重评主张、LawLink 现状及本报告判断，后续章节逐项展开。</w:t>
      </w:r>
    </w:p>
    <w:p>
      <w:pPr>
        <w:keepNext/>
        <w:spacing w:before="240" w:after="80" w:line="312"/>
        <w:jc w:val="center"/>
      </w:pPr>
      <w:r>
        <w:rPr>
          <w:b/>
          <w:bCs/>
          <w:color w:val="2A4A3A"/>
          <w:sz w:val="21"/>
          <w:szCs w:val="21"/>
          <w:rFonts w:ascii="Times New Roman" w:eastAsia="SimHei"/>
        </w:rPr>
        <w:t xml:space="preserve">表 2-1  主题总览对比</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gridCol w:w="100"/>
      </w:tblGrid>
      <w:tr>
        <w:trPr>
          <w:cantSplit/>
          <w:tblHeader/>
        </w:trPr>
        <w:tc>
          <w:tcPr>
            <w:tcW w:type="pct" w:w="1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维度</w:t>
            </w:r>
          </w:p>
        </w:tc>
        <w:tc>
          <w:tcPr>
            <w:tcW w:type="pct" w:w="32%"/>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文章与重评主张</w:t>
            </w:r>
          </w:p>
        </w:tc>
        <w:tc>
          <w:tcPr>
            <w:tcW w:type="pct" w:w="3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LawLink 现状（静态核查）</w:t>
            </w:r>
          </w:p>
        </w:tc>
        <w:tc>
          <w:tcPr>
            <w:tcW w:type="pct" w:w="20%"/>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判断</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定位与边界</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以案件为唯一主数据；按规模分档选型；警惕大而全（A01/03）</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以案件为中心，明确一至五人小所自部署定位</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持平偏领先</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客户主数据</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证件号唯一索引兜底，建档与导入查重前置（A02/06/11）</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证件号明文、无证件类型字段、无唯一约束</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差距，列入 P0</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文档与检索</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版本链、识别转换与倒排全文检索（A07）</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版本与校验字段已建但业务路径未使用；无文本层与全文检索</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最大功能空白</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计费与财务</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账单快照、作废事务、核销分离（A08）</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收付记录可物理删除，已确认记录无保护与关联更正（C05）</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差距，分步补强</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期限与提醒</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期限规则引擎、五级阶梯提醒与责任闭环（A09）</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规则库领先；扫描含四档固定提醒，自定义配置未接入，缺投递闭环与升级</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规则领先、提醒差距</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权限体系</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角色加数据范围、脱敏水印、越权自测（A12）</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三层角色加按事项审批；已有多组权限回归测试，缺跨入口矩阵与端到端验证</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领先，补验证与水印</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数据安全</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字段加密、盲索引、双步验证、审计只增（A13）</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证件照片加密完备；证件号明文、无登录锁定</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差距，列入 P0</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领域模型</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委托、事项、程序、材料版本应分离（重评 C01）</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三重语义混同于案件实体；关联仅裸双端标识</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结构性缺口，P2 演进</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可靠性</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后台执行器、幂等、死信与对账（A09/14，重评 C04）</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进程内调度自认重启可能错过触发；推送结果已入审计，缺重试与补偿</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缺口，列入 P1</w:t>
            </w:r>
          </w:p>
        </w:tc>
      </w:tr>
    </w:tbl>
    <w:p>
      <w:pPr>
        <w:pStyle w:val="Heading1"/>
        <w:keepNext/>
        <w:spacing w:before="400" w:after="180" w:line="380" w:lineRule="atLeast"/>
      </w:pPr>
      <w:bookmarkStart w:id="100007" w:name="_Toc100007"/>
      <w:r>
        <w:rPr>
          <w:b/>
          <w:bCs/>
          <w:color w:val="2A4A3A"/>
          <w:sz w:val="32"/>
          <w:szCs w:val="32"/>
          <w:rFonts w:ascii="Times New Roman" w:eastAsia="SimHei"/>
        </w:rPr>
        <w:t xml:space="preserve">第三章  行业文章体系概览</w:t>
      </w:r>
      <w:bookmarkEnd w:id="100007"/>
    </w:p>
    <w:p>
      <w:pPr>
        <w:pStyle w:val="Heading2"/>
        <w:keepNext/>
        <w:spacing w:before="280" w:after="120" w:line="350" w:lineRule="atLeast"/>
      </w:pPr>
      <w:bookmarkStart w:id="100008" w:name="_Toc100008"/>
      <w:r>
        <w:rPr>
          <w:b/>
          <w:bCs/>
          <w:color w:val="2A4A3A"/>
          <w:sz w:val="28"/>
          <w:szCs w:val="28"/>
          <w:rFonts w:ascii="Times New Roman" w:eastAsia="SimHei"/>
        </w:rPr>
        <w:t xml:space="preserve">3.1 十四篇文章的主题结构</w:t>
      </w:r>
      <w:bookmarkEnd w:id="100008"/>
    </w:p>
    <w:p>
      <w:pPr>
        <w:spacing w:line="312" w:after="60"/>
        <w:ind w:firstLine="480"/>
        <w:jc w:val="both"/>
      </w:pPr>
      <w:r>
        <w:rPr>
          <w:b w:val="false"/>
          <w:bCs w:val="false"/>
          <w:color w:val="000000"/>
          <w:sz w:val="24"/>
          <w:szCs w:val="24"/>
          <w:rFonts w:ascii="Times New Roman" w:eastAsia="SimSun"/>
        </w:rPr>
        <w:t xml:space="preserve">14 篇文章出自同一系列，按主题可分为三组，构成从定位、模块到平台工程的完整叙事，见表 3-1。文章面向商业律所系统与中大所场景，其中约三分之一的内容（电子账单标准、双向日历同步、多租户、信托账户全套等）与 LawLink 定位不匹配，第九章专门列出不宜照搬清单。</w:t>
      </w:r>
    </w:p>
    <w:p>
      <w:pPr>
        <w:keepNext/>
        <w:spacing w:before="240" w:after="80" w:line="312"/>
        <w:jc w:val="center"/>
      </w:pPr>
      <w:r>
        <w:rPr>
          <w:b/>
          <w:bCs/>
          <w:color w:val="2A4A3A"/>
          <w:sz w:val="21"/>
          <w:szCs w:val="21"/>
          <w:rFonts w:ascii="Times New Roman" w:eastAsia="SimHei"/>
        </w:rPr>
        <w:t xml:space="preserve">表 3-1  文章主题分组</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tblGrid>
      <w:tr>
        <w:trPr>
          <w:cantSplit/>
          <w:tblHeader/>
        </w:trPr>
        <w:tc>
          <w:tcPr>
            <w:tcW w:type="pct" w:w="20%"/>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组别</w:t>
            </w:r>
          </w:p>
        </w:tc>
        <w:tc>
          <w:tcPr>
            <w:tcW w:type="pct" w:w="1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篇目</w:t>
            </w:r>
          </w:p>
        </w:tc>
        <w:tc>
          <w:tcPr>
            <w:tcW w:type="pct" w:w="6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核心主题</w:t>
            </w:r>
          </w:p>
        </w:tc>
      </w:tr>
      <w:tr>
        <w:trPr>
          <w:cantSplit/>
          <w:tblHeader w:val="false"/>
        </w:trPr>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定位与选型</w:t>
            </w:r>
          </w:p>
        </w:tc>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01 至 04</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以案件为中心的品类判定三问；结构化数据模型相对手工台账的价值；规模分档与通用型、领域深耕型路线取舍；部署模式与总拥有成本</w:t>
            </w:r>
          </w:p>
        </w:tc>
      </w:tr>
      <w:tr>
        <w:trPr>
          <w:cantSplit/>
          <w:tblHeader w:val="false"/>
        </w:trPr>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业务模块</w:t>
            </w:r>
          </w:p>
        </w:tc>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05 至 09</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案件全生命周期状态机与归档完整性；客户主数据分层与角色关联表；文档版本控制与识别转换；计费流水、账单快照与资金对账；期限计算与阶梯提醒</w:t>
            </w:r>
          </w:p>
        </w:tc>
      </w:tr>
      <w:tr>
        <w:trPr>
          <w:cantSplit/>
          <w:tblHeader w:val="false"/>
        </w:trPr>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平台工程</w:t>
            </w:r>
          </w:p>
        </w:tc>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10 至 14</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前后端与数据库选型；约三十张核心表的设计红线；权限的两层正交模型；加密、密钥与审计留痕；外部集成的幂等与对账工程</w:t>
            </w:r>
          </w:p>
        </w:tc>
      </w:tr>
    </w:tbl>
    <w:p>
      <w:pPr>
        <w:pStyle w:val="Heading2"/>
        <w:keepNext/>
        <w:spacing w:before="280" w:after="120" w:line="350" w:lineRule="atLeast"/>
      </w:pPr>
      <w:bookmarkStart w:id="100009" w:name="_Toc100009"/>
      <w:r>
        <w:rPr>
          <w:b/>
          <w:bCs/>
          <w:color w:val="2A4A3A"/>
          <w:sz w:val="28"/>
          <w:szCs w:val="28"/>
          <w:rFonts w:ascii="Times New Roman" w:eastAsia="SimHei"/>
        </w:rPr>
        <w:t xml:space="preserve">3.2 最有价值的五条方法论</w:t>
      </w:r>
      <w:bookmarkEnd w:id="100009"/>
    </w:p>
    <w:p>
      <w:pPr>
        <w:spacing w:line="312" w:after="60"/>
        <w:ind w:firstLine="480"/>
        <w:jc w:val="both"/>
      </w:pPr>
      <w:r>
        <w:rPr>
          <w:b w:val="false"/>
          <w:bCs w:val="false"/>
          <w:color w:val="000000"/>
          <w:sz w:val="24"/>
          <w:szCs w:val="24"/>
          <w:rFonts w:ascii="Times New Roman" w:eastAsia="SimSun"/>
        </w:rPr>
        <w:t xml:space="preserve">剥离具体功能后，文章体系中对小所系统最有迁移价值的是五条工程纪律，它们与收费模式、规模无关，是本报告多项建议的直接依据。</w:t>
      </w:r>
    </w:p>
    <w:p>
      <w:pPr>
        <w:pStyle w:val="ListParagraph"/>
        <w:numPr>
          <w:ilvl w:val="0"/>
          <w:numId w:val="2"/>
        </w:numPr>
        <w:spacing w:line="312" w:after="40"/>
        <w:jc w:val="both"/>
      </w:pPr>
      <w:r>
        <w:rPr>
          <w:b/>
          <w:bCs/>
          <w:color w:val="000000"/>
          <w:sz w:val="24"/>
          <w:szCs w:val="24"/>
          <w:rFonts w:ascii="Times New Roman" w:eastAsia="SimSun"/>
        </w:rPr>
        <w:t xml:space="preserve">主数据唯一性兜底。</w:t>
      </w:r>
      <w:r>
        <w:rPr>
          <w:b w:val="false"/>
          <w:bCs w:val="false"/>
          <w:color w:val="000000"/>
          <w:sz w:val="24"/>
          <w:szCs w:val="24"/>
          <w:rFonts w:ascii="Times New Roman" w:eastAsia="SimSun"/>
        </w:rPr>
        <w:t xml:space="preserve">证件号码或统一社会信用代码应有数据库层唯一约束，建档与导入两个入口做查重前置；客户主数据不干净，则案源统计、冲突检索与财务对账全部返工（A02/06/11）。</w:t>
      </w:r>
    </w:p>
    <w:p>
      <w:pPr>
        <w:pStyle w:val="ListParagraph"/>
        <w:numPr>
          <w:ilvl w:val="0"/>
          <w:numId w:val="2"/>
        </w:numPr>
        <w:spacing w:line="312" w:after="40"/>
        <w:jc w:val="both"/>
      </w:pPr>
      <w:r>
        <w:rPr>
          <w:b/>
          <w:bCs/>
          <w:color w:val="000000"/>
          <w:sz w:val="24"/>
          <w:szCs w:val="24"/>
          <w:rFonts w:ascii="Times New Roman" w:eastAsia="SimSun"/>
        </w:rPr>
        <w:t xml:space="preserve">历史数据快照不可漂移。</w:t>
      </w:r>
      <w:r>
        <w:rPr>
          <w:b w:val="false"/>
          <w:bCs w:val="false"/>
          <w:color w:val="000000"/>
          <w:sz w:val="24"/>
          <w:szCs w:val="24"/>
          <w:rFonts w:ascii="Times New Roman" w:eastAsia="SimSun"/>
        </w:rPr>
        <w:t xml:space="preserve">账单生成时固化金额明细，费率入账即快照；源数据后续修改不得改变已确认单据的历史口径（A08）。</w:t>
      </w:r>
    </w:p>
    <w:p>
      <w:pPr>
        <w:pStyle w:val="ListParagraph"/>
        <w:numPr>
          <w:ilvl w:val="0"/>
          <w:numId w:val="2"/>
        </w:numPr>
        <w:spacing w:line="312" w:after="40"/>
        <w:jc w:val="both"/>
      </w:pPr>
      <w:r>
        <w:rPr>
          <w:b/>
          <w:bCs/>
          <w:color w:val="000000"/>
          <w:sz w:val="24"/>
          <w:szCs w:val="24"/>
          <w:rFonts w:ascii="Times New Roman" w:eastAsia="SimSun"/>
        </w:rPr>
        <w:t xml:space="preserve">提醒失败不可静默。</w:t>
      </w:r>
      <w:r>
        <w:rPr>
          <w:b w:val="false"/>
          <w:bCs w:val="false"/>
          <w:color w:val="000000"/>
          <w:sz w:val="24"/>
          <w:szCs w:val="24"/>
          <w:rFonts w:ascii="Times New Roman" w:eastAsia="SimSun"/>
        </w:rPr>
        <w:t xml:space="preserve">同步与提醒任务失败必须可见、可查、可补发，禁止无声丢弃（A09/14）。</w:t>
      </w:r>
    </w:p>
    <w:p>
      <w:pPr>
        <w:pStyle w:val="ListParagraph"/>
        <w:numPr>
          <w:ilvl w:val="0"/>
          <w:numId w:val="2"/>
        </w:numPr>
        <w:spacing w:line="312" w:after="40"/>
        <w:jc w:val="both"/>
      </w:pPr>
      <w:r>
        <w:rPr>
          <w:b/>
          <w:bCs/>
          <w:color w:val="000000"/>
          <w:sz w:val="24"/>
          <w:szCs w:val="24"/>
          <w:rFonts w:ascii="Times New Roman" w:eastAsia="SimSun"/>
        </w:rPr>
        <w:t xml:space="preserve">检索层必须带权限上下文。</w:t>
      </w:r>
      <w:r>
        <w:rPr>
          <w:b w:val="false"/>
          <w:bCs w:val="false"/>
          <w:color w:val="000000"/>
          <w:sz w:val="24"/>
          <w:szCs w:val="24"/>
          <w:rFonts w:ascii="Times New Roman" w:eastAsia="SimSun"/>
        </w:rPr>
        <w:t xml:space="preserve">文档表、版本表、检索索引任何一处遗漏权限过滤都会造成越权读取；派生内容继承源对象权限（A07/12）。</w:t>
      </w:r>
    </w:p>
    <w:p>
      <w:pPr>
        <w:pStyle w:val="ListParagraph"/>
        <w:numPr>
          <w:ilvl w:val="0"/>
          <w:numId w:val="2"/>
        </w:numPr>
        <w:spacing w:line="312" w:after="40"/>
        <w:jc w:val="both"/>
      </w:pPr>
      <w:r>
        <w:rPr>
          <w:b/>
          <w:bCs/>
          <w:color w:val="000000"/>
          <w:sz w:val="24"/>
          <w:szCs w:val="24"/>
          <w:rFonts w:ascii="Times New Roman" w:eastAsia="SimSun"/>
        </w:rPr>
        <w:t xml:space="preserve">安全补在实现细节。</w:t>
      </w:r>
      <w:r>
        <w:rPr>
          <w:b w:val="false"/>
          <w:bCs w:val="false"/>
          <w:color w:val="000000"/>
          <w:sz w:val="24"/>
          <w:szCs w:val="24"/>
          <w:rFonts w:ascii="Times New Roman" w:eastAsia="SimSun"/>
        </w:rPr>
        <w:t xml:space="preserve">多数泄露并非算法被攻破，而是密钥管理、登录保护、越权接口校验等实现问题（A13）。</w:t>
      </w:r>
    </w:p>
    <w:p>
      <w:pPr>
        <w:pStyle w:val="Heading1"/>
        <w:keepNext/>
        <w:spacing w:before="400" w:after="180" w:line="380" w:lineRule="atLeast"/>
      </w:pPr>
      <w:bookmarkStart w:id="100010" w:name="_Toc100010"/>
      <w:r>
        <w:rPr>
          <w:b/>
          <w:bCs/>
          <w:color w:val="2A4A3A"/>
          <w:sz w:val="32"/>
          <w:szCs w:val="32"/>
          <w:rFonts w:ascii="Times New Roman" w:eastAsia="SimHei"/>
        </w:rPr>
        <w:t xml:space="preserve">第四章  LawLink 现状盘点</w:t>
      </w:r>
      <w:bookmarkEnd w:id="100010"/>
    </w:p>
    <w:p>
      <w:pPr>
        <w:pStyle w:val="Heading2"/>
        <w:keepNext/>
        <w:spacing w:before="280" w:after="120" w:line="350" w:lineRule="atLeast"/>
      </w:pPr>
      <w:bookmarkStart w:id="100011" w:name="_Toc100011"/>
      <w:r>
        <w:rPr>
          <w:b/>
          <w:bCs/>
          <w:color w:val="2A4A3A"/>
          <w:sz w:val="28"/>
          <w:szCs w:val="28"/>
          <w:rFonts w:ascii="Times New Roman" w:eastAsia="SimHei"/>
        </w:rPr>
        <w:t xml:space="preserve">4.1 定位、技术栈与质量现状</w:t>
      </w:r>
      <w:bookmarkEnd w:id="100011"/>
    </w:p>
    <w:p>
      <w:pPr>
        <w:spacing w:line="312" w:after="60"/>
        <w:ind w:firstLine="480"/>
        <w:jc w:val="both"/>
      </w:pPr>
      <w:r>
        <w:rPr>
          <w:b w:val="false"/>
          <w:bCs w:val="false"/>
          <w:color w:val="000000"/>
          <w:sz w:val="24"/>
          <w:szCs w:val="24"/>
          <w:rFonts w:ascii="Times New Roman" w:eastAsia="SimSun"/>
        </w:rPr>
        <w:t xml:space="preserve">LawLink 定位独立律师与一至五人小团队，明确排除客户门户、多机构多租户与大所级功能；交付形态为 Docker Compose 单实例，附带备份定时任务与云服务器安装指南。质量侧现有四十余个单元与服务层测试文件，其中包含权限、团队访问、自定义角色附件访问、申请附件访问、角色停用与账号会话失效等多组回归测试；尚无端到端测试，跨入口权限矩阵的完整性仍需核对，不能据现有测试认定所有入口均已覆盖。</w:t>
      </w:r>
    </w:p>
    <w:p>
      <w:pPr>
        <w:pStyle w:val="Heading2"/>
        <w:keepNext/>
        <w:spacing w:before="280" w:after="120" w:line="350" w:lineRule="atLeast"/>
      </w:pPr>
      <w:bookmarkStart w:id="100012" w:name="_Toc100012"/>
      <w:r>
        <w:rPr>
          <w:b/>
          <w:bCs/>
          <w:color w:val="2A4A3A"/>
          <w:sz w:val="28"/>
          <w:szCs w:val="28"/>
          <w:rFonts w:ascii="Times New Roman" w:eastAsia="SimHei"/>
        </w:rPr>
        <w:t xml:space="preserve">4.2 数据模型全景</w:t>
      </w:r>
      <w:bookmarkEnd w:id="100012"/>
    </w:p>
    <w:p>
      <w:pPr>
        <w:spacing w:line="312" w:after="60"/>
        <w:ind w:firstLine="480"/>
        <w:jc w:val="both"/>
      </w:pPr>
      <w:r>
        <w:rPr>
          <w:b w:val="false"/>
          <w:bCs w:val="false"/>
          <w:color w:val="000000"/>
          <w:sz w:val="24"/>
          <w:szCs w:val="24"/>
          <w:rFonts w:ascii="Times New Roman" w:eastAsia="SimSun"/>
        </w:rPr>
        <w:t xml:space="preserve">数据库约含六十个模型。案件域为核心三层：收案线索转正式案件，正式案件下挂多个程序（约二十种程序类型），程序下挂阶段；诉讼地位枚举超过二十个取值，覆盖民事、刑事、仲裁与执行；内置一千七百余条规范案由树。冲突检索带查询快照与分级命中记录；期限规则库十二条内置规则并附法条出处与核验时间戳。文档域已建立版本、版本族与内容校验字段并支持可选加密，但普通上传路径尚未使用这些字段，版本创建、关联、最新版切换与历史追溯机制未闭环。财务域为结算单（含合同金额与签署时间，更接近合同收费记录）、收付流水、开票申请与分成计划。治理域含审批权限组、印章配置、归档清单快照与审计日志。</w:t>
      </w:r>
    </w:p>
    <w:p>
      <w:pPr>
        <w:pStyle w:val="Heading2"/>
        <w:keepNext/>
        <w:spacing w:before="280" w:after="120" w:line="350" w:lineRule="atLeast"/>
      </w:pPr>
      <w:bookmarkStart w:id="100013" w:name="_Toc100013"/>
      <w:r>
        <w:rPr>
          <w:b/>
          <w:bCs/>
          <w:color w:val="2A4A3A"/>
          <w:sz w:val="28"/>
          <w:szCs w:val="28"/>
          <w:rFonts w:ascii="Times New Roman" w:eastAsia="SimHei"/>
        </w:rPr>
        <w:t xml:space="preserve">4.3 治理体系</w:t>
      </w:r>
      <w:bookmarkEnd w:id="100013"/>
    </w:p>
    <w:p>
      <w:pPr>
        <w:spacing w:line="312" w:after="60"/>
        <w:ind w:firstLine="480"/>
        <w:jc w:val="both"/>
      </w:pPr>
      <w:r>
        <w:rPr>
          <w:b w:val="false"/>
          <w:bCs w:val="false"/>
          <w:color w:val="000000"/>
          <w:sz w:val="24"/>
          <w:szCs w:val="24"/>
          <w:rFonts w:ascii="Times New Roman" w:eastAsia="SimSun"/>
        </w:rPr>
        <w:t xml:space="preserve">权限采用三层分离：业务岗位角色、系统管理身份与独立配置的审批权限组；所有账号含超级管理员均须按事项授权取得审批与盖章回填资格。团队只读授权按成员关系实时计算，不落案件字段、撤权即时生效、不授予导出与财务。个人身份证件照片独立加密存储，明文查看逐次审计。统一审批工作台聚合收案、文书、归档、开票、用章五类事项。</w:t>
      </w:r>
    </w:p>
    <w:p>
      <w:pPr>
        <w:pStyle w:val="Heading2"/>
        <w:keepNext/>
        <w:spacing w:before="280" w:after="120" w:line="350" w:lineRule="atLeast"/>
      </w:pPr>
      <w:bookmarkStart w:id="100014" w:name="_Toc100014"/>
      <w:r>
        <w:rPr>
          <w:b/>
          <w:bCs/>
          <w:color w:val="2A4A3A"/>
          <w:sz w:val="28"/>
          <w:szCs w:val="28"/>
          <w:rFonts w:ascii="Times New Roman" w:eastAsia="SimHei"/>
        </w:rPr>
        <w:t xml:space="preserve">4.4 已知挂账事项</w:t>
      </w:r>
      <w:bookmarkEnd w:id="100014"/>
    </w:p>
    <w:p>
      <w:pPr>
        <w:spacing w:line="312" w:after="60"/>
        <w:ind w:firstLine="480"/>
        <w:jc w:val="both"/>
      </w:pPr>
      <w:r>
        <w:rPr>
          <w:b w:val="false"/>
          <w:bCs w:val="false"/>
          <w:color w:val="000000"/>
          <w:sz w:val="24"/>
          <w:szCs w:val="24"/>
          <w:rFonts w:ascii="Times New Roman" w:eastAsia="SimSun"/>
        </w:rPr>
        <w:t xml:space="preserve">项目自身记录的未完事项包括：期限规则管理界面未落地（规则数据已具备，仅缺增删改入口）；时间线与审计日志双写待统一服务入口；移动端三个核心页面的真机走查待完成；律师自定义文书模板上传未见独立页面。这些挂账事项与本报告建议存在直接呼应，一并纳入路线图。</w:t>
      </w:r>
    </w:p>
    <w:p>
      <w:pPr>
        <w:pStyle w:val="Heading1"/>
        <w:keepNext/>
        <w:spacing w:before="400" w:after="180" w:line="380" w:lineRule="atLeast"/>
      </w:pPr>
      <w:bookmarkStart w:id="100015" w:name="_Toc100015"/>
      <w:r>
        <w:rPr>
          <w:b/>
          <w:bCs/>
          <w:color w:val="2A4A3A"/>
          <w:sz w:val="32"/>
          <w:szCs w:val="32"/>
          <w:rFonts w:ascii="Times New Roman" w:eastAsia="SimHei"/>
        </w:rPr>
        <w:t xml:space="preserve">第五章  逐主题对比分析与建议</w:t>
      </w:r>
      <w:bookmarkEnd w:id="100015"/>
    </w:p>
    <w:p>
      <w:pPr>
        <w:pStyle w:val="Heading2"/>
        <w:keepNext/>
        <w:spacing w:before="280" w:after="120" w:line="350" w:lineRule="atLeast"/>
      </w:pPr>
      <w:bookmarkStart w:id="100016" w:name="_Toc100016"/>
      <w:r>
        <w:rPr>
          <w:b/>
          <w:bCs/>
          <w:color w:val="2A4A3A"/>
          <w:sz w:val="28"/>
          <w:szCs w:val="28"/>
          <w:rFonts w:ascii="Times New Roman" w:eastAsia="SimHei"/>
        </w:rPr>
        <w:t xml:space="preserve">5.1 定位与产品边界（A01/03/04）</w:t>
      </w:r>
      <w:bookmarkEnd w:id="100016"/>
    </w:p>
    <w:p>
      <w:pPr>
        <w:spacing w:line="312" w:after="60"/>
        <w:ind w:firstLine="480"/>
        <w:jc w:val="both"/>
      </w:pPr>
      <w:r>
        <w:rPr>
          <w:b w:val="false"/>
          <w:bCs w:val="false"/>
          <w:color w:val="000000"/>
          <w:sz w:val="24"/>
          <w:szCs w:val="24"/>
          <w:rFonts w:ascii="Times New Roman" w:eastAsia="SimSun"/>
        </w:rPr>
        <w:t xml:space="preserve">文章提出以案件为中心的品类判定三问：开案是否先有客户档案、开案前是否做利益冲突检查、同一客户多案件是否共享时间线。LawLink 三问全部满足。规模分档上，LawLink 精准落在一至十人微型所档位，该档位的核心诉求是开案快、文件找得到、月底能出账，而非治理与集成。</w:t>
      </w:r>
    </w:p>
    <w:p>
      <w:pPr>
        <w:spacing w:line="312" w:after="60"/>
        <w:ind w:firstLine="480"/>
        <w:jc w:val="both"/>
      </w:pPr>
      <w:r>
        <w:rPr>
          <w:b/>
          <w:bCs/>
          <w:color w:val="000000"/>
          <w:sz w:val="24"/>
          <w:szCs w:val="24"/>
          <w:rFonts w:ascii="Times New Roman" w:eastAsia="SimSun"/>
        </w:rPr>
        <w:t xml:space="preserve">结论与建议：</w:t>
      </w:r>
      <w:r>
        <w:rPr>
          <w:b w:val="false"/>
          <w:bCs w:val="false"/>
          <w:color w:val="000000"/>
          <w:sz w:val="24"/>
          <w:szCs w:val="24"/>
          <w:rFonts w:ascii="Times New Roman" w:eastAsia="SimSun"/>
        </w:rPr>
        <w:t xml:space="preserve">定位是否维持，取决于“买与造”检验：若可核验的材料来源、中文卷宗、私有部署与文字处理工作流不再是核心需求，采购成熟产品可能优于继续自研；当前这些需求成立，自研理由依然充分，定位不变，也不因文章的大所叙事扩张功能。短板在自部署产品成熟度而非功能清单：建议补三份部署者文档，即备份恢复演练的标准命令与校验步骤、版本升级与回退指南、数据分级说明（哪些数据不出所、附件加密开关的取舍）。</w:t>
      </w:r>
    </w:p>
    <w:p>
      <w:pPr>
        <w:pStyle w:val="Heading2"/>
        <w:keepNext/>
        <w:spacing w:before="280" w:after="120" w:line="350" w:lineRule="atLeast"/>
      </w:pPr>
      <w:bookmarkStart w:id="100017" w:name="_Toc100017"/>
      <w:r>
        <w:rPr>
          <w:b/>
          <w:bCs/>
          <w:color w:val="2A4A3A"/>
          <w:sz w:val="28"/>
          <w:szCs w:val="28"/>
          <w:rFonts w:ascii="Times New Roman" w:eastAsia="SimHei"/>
        </w:rPr>
        <w:t xml:space="preserve">5.2 客户主数据治理（A02/06/11）</w:t>
      </w:r>
      <w:bookmarkEnd w:id="100017"/>
    </w:p>
    <w:p>
      <w:pPr>
        <w:spacing w:line="312" w:after="60"/>
        <w:ind w:firstLine="480"/>
        <w:jc w:val="both"/>
      </w:pPr>
      <w:r>
        <w:rPr>
          <w:b/>
          <w:bCs/>
          <w:color w:val="000000"/>
          <w:sz w:val="24"/>
          <w:szCs w:val="24"/>
          <w:rFonts w:ascii="Times New Roman" w:eastAsia="SimSun"/>
        </w:rPr>
        <w:t xml:space="preserve">现状缺口经数据库核实：</w:t>
      </w:r>
      <w:r>
        <w:rPr>
          <w:b w:val="false"/>
          <w:bCs w:val="false"/>
          <w:color w:val="000000"/>
          <w:sz w:val="24"/>
          <w:szCs w:val="24"/>
          <w:rFonts w:ascii="Times New Roman" w:eastAsia="SimSun"/>
        </w:rPr>
        <w:t xml:space="preserve">客户的证件号码字段为明文可空文本，只有普通索引、没有唯一约束，也没有证件类型字段；收案时虽有自动建档联想，但批量导入路径没有查重与合并机制；客户来源渠道字段已存在但未进入任何报表。同一主体重复建档目前无任何数据库层兜底。</w:t>
      </w:r>
    </w:p>
    <w:p>
      <w:pPr>
        <w:spacing w:line="312" w:after="60"/>
        <w:ind w:firstLine="480"/>
        <w:jc w:val="both"/>
      </w:pPr>
      <w:r>
        <w:rPr>
          <w:b/>
          <w:bCs/>
          <w:color w:val="000000"/>
          <w:sz w:val="24"/>
          <w:szCs w:val="24"/>
          <w:rFonts w:ascii="Times New Roman" w:eastAsia="SimSun"/>
        </w:rPr>
        <w:t xml:space="preserve">建议（P0，三步）：</w:t>
      </w:r>
      <w:r>
        <w:rPr>
          <w:b w:val="false"/>
          <w:bCs w:val="false"/>
          <w:color w:val="000000"/>
          <w:sz w:val="24"/>
          <w:szCs w:val="24"/>
          <w:rFonts w:ascii="Times New Roman" w:eastAsia="SimSun"/>
        </w:rPr>
        <w:t xml:space="preserve">第一步为客户增加证件类型字段，并先明确主体身份唯一性的保留范围：若停用客户仍代表同一主体，应继续保留身份唯一性，通过恢复或合并处理重复；若仅要求有效记录唯一，应采用针对有效记录的部分唯一索引（数据库层过滤删除时间为空的记录），并明确证件缺失、号码规范化及证件身份范围的规则。不得仅将可空删除时间加入普通联合唯一约束便认定已实现有效客户去重——数据库将唯一索引中的空值视为彼此不同，该做法不能阻止多条有效重复记录。名称相同只能提示疑似重复，不能作为自动合并依据。第二步在建档、收案、导入三个入口统一查重服务（名称与证件号两级匹配），命中提供合并操作，迁移引用后按既定策略处理旧档并留审计。第三步报表增加客户来源渠道分布，让既有字段产生价值。不建议引入文章的客户自动分级规则引擎。</w:t>
      </w:r>
    </w:p>
    <w:p>
      <w:pPr>
        <w:pStyle w:val="Heading2"/>
        <w:keepNext/>
        <w:spacing w:before="280" w:after="120" w:line="350" w:lineRule="atLeast"/>
      </w:pPr>
      <w:bookmarkStart w:id="100018" w:name="_Toc100018"/>
      <w:r>
        <w:rPr>
          <w:b/>
          <w:bCs/>
          <w:color w:val="2A4A3A"/>
          <w:sz w:val="28"/>
          <w:szCs w:val="28"/>
          <w:rFonts w:ascii="Times New Roman" w:eastAsia="SimHei"/>
        </w:rPr>
        <w:t xml:space="preserve">5.3 文档与全文检索（A07）</w:t>
      </w:r>
      <w:bookmarkEnd w:id="100018"/>
    </w:p>
    <w:p>
      <w:pPr>
        <w:spacing w:line="312" w:after="60"/>
        <w:ind w:firstLine="480"/>
        <w:jc w:val="both"/>
      </w:pPr>
      <w:r>
        <w:rPr>
          <w:b/>
          <w:bCs/>
          <w:color w:val="000000"/>
          <w:sz w:val="24"/>
          <w:szCs w:val="24"/>
          <w:rFonts w:ascii="Times New Roman" w:eastAsia="SimSun"/>
        </w:rPr>
        <w:t xml:space="preserve">现状：</w:t>
      </w:r>
      <w:r>
        <w:rPr>
          <w:b w:val="false"/>
          <w:bCs w:val="false"/>
          <w:color w:val="000000"/>
          <w:sz w:val="24"/>
          <w:szCs w:val="24"/>
          <w:rFonts w:ascii="Times New Roman" w:eastAsia="SimSun"/>
        </w:rPr>
        <w:t xml:space="preserve">文档表已建版本、版本族与内容校验字段，但普通上传路径未使用它们，尚未形成完整的版本创建、关联、最新版切换与历史追溯机制，不能视为已具备版本控制能力；全局搜索仅覆盖标题级元数据；已有的发票与文书识别结果未沉淀为可检索资产，文书审查记录模型已建但仅存档不展示。“文件找得到”正是文章所列微型所三大诉求之一，这是当前最大的能力空白。</w:t>
      </w:r>
    </w:p>
    <w:p>
      <w:pPr>
        <w:spacing w:line="312" w:after="60"/>
        <w:ind w:firstLine="480"/>
        <w:jc w:val="both"/>
      </w:pPr>
      <w:r>
        <w:rPr>
          <w:b/>
          <w:bCs/>
          <w:color w:val="000000"/>
          <w:sz w:val="24"/>
          <w:szCs w:val="24"/>
          <w:rFonts w:ascii="Times New Roman" w:eastAsia="SimSun"/>
        </w:rPr>
        <w:t xml:space="preserve">建议（P0 起步、P1 深化）：</w:t>
      </w:r>
      <w:r>
        <w:rPr>
          <w:b w:val="false"/>
          <w:bCs w:val="false"/>
          <w:color w:val="000000"/>
          <w:sz w:val="24"/>
          <w:szCs w:val="24"/>
          <w:rFonts w:ascii="Times New Roman" w:eastAsia="SimSun"/>
        </w:rPr>
        <w:t xml:space="preserve">检索方案上，优先验证 PostgreSQL 配合适当中文分词方案，以案号、人名、长卷宗、扫描识别文本的召回效果、权限过滤能力及维护成本决定是否采用；数据库方案作为优先候选，独立检索服务保留为验证后的替代方案，不在测试前作绝对排除。文档增加抽取文本层：文字处理文档服务端抽取纯文本，扫描件走已有识别服务并落库。文本层与搜索上线时，必须同步具备最低限度的材料版本关联、页码定位、源对象授权检查与处理失败状态——检索层必须复用案件可见性同一套过滤，识别文本、缩略图等派生内容继承源对象权限并在撤权后失效；完整证据项与交付包可后续建设，上述基础不得推迟。案件审查记录与类案存档进入所级知识库前，须经过脱敏、发布审核与独立授权，不得直接扩大原案件内容的可见范围。</w:t>
      </w:r>
    </w:p>
    <w:p>
      <w:pPr>
        <w:pStyle w:val="Heading2"/>
        <w:keepNext/>
        <w:spacing w:before="280" w:after="120" w:line="350" w:lineRule="atLeast"/>
      </w:pPr>
      <w:bookmarkStart w:id="100019" w:name="_Toc100019"/>
      <w:r>
        <w:rPr>
          <w:b/>
          <w:bCs/>
          <w:color w:val="2A4A3A"/>
          <w:sz w:val="28"/>
          <w:szCs w:val="28"/>
          <w:rFonts w:ascii="Times New Roman" w:eastAsia="SimHei"/>
        </w:rPr>
        <w:t xml:space="preserve">5.4 计费与财务（A08，重评 C05）</w:t>
      </w:r>
      <w:bookmarkEnd w:id="100019"/>
    </w:p>
    <w:p>
      <w:pPr>
        <w:spacing w:line="312" w:after="60"/>
        <w:ind w:firstLine="480"/>
        <w:jc w:val="both"/>
      </w:pPr>
      <w:r>
        <w:rPr>
          <w:b/>
          <w:bCs/>
          <w:color w:val="000000"/>
          <w:sz w:val="24"/>
          <w:szCs w:val="24"/>
          <w:rFonts w:ascii="Times New Roman" w:eastAsia="SimSun"/>
        </w:rPr>
        <w:t xml:space="preserve">现状：</w:t>
      </w:r>
      <w:r>
        <w:rPr>
          <w:b w:val="false"/>
          <w:bCs w:val="false"/>
          <w:color w:val="000000"/>
          <w:sz w:val="24"/>
          <w:szCs w:val="24"/>
          <w:rFonts w:ascii="Times New Roman" w:eastAsia="SimSun"/>
        </w:rPr>
        <w:t xml:space="preserve">LawLink 明确不做通用计时收费，该取舍符合定位，应保留。代码核查确认：收付记录存在创建与物理删除入口，未发现直接修改金额的业务入口——记录集合可通过删除及重新登记改变；已确认记录缺少完整保护与关联更正机制。结算单当前更接近合同收费记录（含合同金额与签署时间），不能将合同签署直接等同为对账单确认。</w:t>
      </w:r>
    </w:p>
    <w:p>
      <w:pPr>
        <w:spacing w:line="312" w:after="60"/>
        <w:ind w:firstLine="480"/>
        <w:jc w:val="both"/>
      </w:pPr>
      <w:r>
        <w:rPr>
          <w:b/>
          <w:bCs/>
          <w:color w:val="000000"/>
          <w:sz w:val="24"/>
          <w:szCs w:val="24"/>
          <w:rFonts w:ascii="Times New Roman" w:eastAsia="SimSun"/>
        </w:rPr>
        <w:t xml:space="preserve">建议：</w:t>
      </w:r>
      <w:r>
        <w:rPr>
          <w:b w:val="false"/>
          <w:bCs w:val="false"/>
          <w:color w:val="000000"/>
          <w:sz w:val="24"/>
          <w:szCs w:val="24"/>
          <w:rFonts w:ascii="Times New Roman" w:eastAsia="SimSun"/>
        </w:rPr>
        <w:t xml:space="preserve">先明确合同签署、款项确认与对账单确认各自的含义与口径；优先限制已确认记录的删除及替换，固定已对外单据的金额口径，再建立核销模型：应收、实收、分配（一次收款核销多项应收）与冲正（退款、折让等带原因的关联记录）分离；分成计算固定规则与基数快照，规则变化不重写历史。近期一并核查客户编号与案号发号是否为先查最大值再插入的并发不安全写法。预收与代收代付先做轻量子账，遵循余额不为负、用途必填、划转留凭证三条纪律，不照搬文章的境外信托三向对账全套。</w:t>
      </w:r>
    </w:p>
    <w:p>
      <w:pPr>
        <w:pStyle w:val="Heading2"/>
        <w:keepNext/>
        <w:spacing w:before="280" w:after="120" w:line="350" w:lineRule="atLeast"/>
      </w:pPr>
      <w:bookmarkStart w:id="100020" w:name="_Toc100020"/>
      <w:r>
        <w:rPr>
          <w:b/>
          <w:bCs/>
          <w:color w:val="2A4A3A"/>
          <w:sz w:val="28"/>
          <w:szCs w:val="28"/>
          <w:rFonts w:ascii="Times New Roman" w:eastAsia="SimHei"/>
        </w:rPr>
        <w:t xml:space="preserve">5.5 期限与提醒（A09）</w:t>
      </w:r>
      <w:bookmarkEnd w:id="100020"/>
    </w:p>
    <w:p>
      <w:pPr>
        <w:spacing w:line="312" w:after="60"/>
        <w:ind w:firstLine="480"/>
        <w:jc w:val="both"/>
      </w:pPr>
      <w:r>
        <w:rPr>
          <w:b/>
          <w:bCs/>
          <w:color w:val="000000"/>
          <w:sz w:val="24"/>
          <w:szCs w:val="24"/>
          <w:rFonts w:ascii="Times New Roman" w:eastAsia="SimSun"/>
        </w:rPr>
        <w:t xml:space="preserve">现状（更正后的准确描述）：</w:t>
      </w:r>
      <w:r>
        <w:rPr>
          <w:b w:val="false"/>
          <w:bCs w:val="false"/>
          <w:color w:val="000000"/>
          <w:sz w:val="24"/>
          <w:szCs w:val="24"/>
          <w:rFonts w:ascii="Times New Roman" w:eastAsia="SimSun"/>
        </w:rPr>
        <w:t xml:space="preserve">期限规则库带法条出处与核验戳，设计领先于文章的期限类型字典；扫描作业已内置四档固定提醒（提前三天、提前一天、到期当天、逾期首日），保全提醒另读取专门的多档自定义配置；群机器人投递结果已写入扫描审计。仍缺的三件事：期限实体上的自定义提醒天数尚未被扫描路径采用（配置与执行脱节）；投递缺少完整的重试、停机补偿与面向用户的失败处理闭环；缺少逾期责任升级机制。调度器注释自认进程重启可能错过触发时点（C04）。</w:t>
      </w:r>
    </w:p>
    <w:p>
      <w:pPr>
        <w:spacing w:line="312" w:after="60"/>
        <w:ind w:firstLine="480"/>
        <w:jc w:val="both"/>
      </w:pPr>
      <w:r>
        <w:rPr>
          <w:b/>
          <w:bCs/>
          <w:color w:val="000000"/>
          <w:sz w:val="24"/>
          <w:szCs w:val="24"/>
          <w:rFonts w:ascii="Times New Roman" w:eastAsia="SimSun"/>
        </w:rPr>
        <w:t xml:space="preserve">建议（P0 加 P1）：</w:t>
      </w:r>
      <w:r>
        <w:rPr>
          <w:b w:val="false"/>
          <w:bCs w:val="false"/>
          <w:color w:val="000000"/>
          <w:sz w:val="24"/>
          <w:szCs w:val="24"/>
          <w:rFonts w:ascii="Times New Roman" w:eastAsia="SimSun"/>
        </w:rPr>
        <w:t xml:space="preserve">统一提醒配置与实际执行，让期限实体的自定义提醒配置真正生效；补齐挂账的规则管理界面。完善持久投递：失败可重试、停机后可补偿、投递结果对用户可见。按文章的责任闭环补充逾期升级，但升级前须确认接收人对该事项及拟发送内容具有访问资格——负责人身份本身不代表可接收所有案件详情；无合格接收人时进入明确的异常处理流程。</w:t>
      </w:r>
    </w:p>
    <w:p>
      <w:pPr>
        <w:pStyle w:val="Heading2"/>
        <w:keepNext/>
        <w:spacing w:before="280" w:after="120" w:line="350" w:lineRule="atLeast"/>
      </w:pPr>
      <w:bookmarkStart w:id="100021" w:name="_Toc100021"/>
      <w:r>
        <w:rPr>
          <w:b/>
          <w:bCs/>
          <w:color w:val="2A4A3A"/>
          <w:sz w:val="28"/>
          <w:szCs w:val="28"/>
          <w:rFonts w:ascii="Times New Roman" w:eastAsia="SimHei"/>
        </w:rPr>
        <w:t xml:space="preserve">5.6 权限与安全（A12/13，重评 C03/C07）</w:t>
      </w:r>
      <w:bookmarkEnd w:id="100021"/>
    </w:p>
    <w:p>
      <w:pPr>
        <w:spacing w:line="312" w:after="60"/>
        <w:ind w:firstLine="480"/>
        <w:jc w:val="both"/>
      </w:pPr>
      <w:r>
        <w:rPr>
          <w:b/>
          <w:bCs/>
          <w:color w:val="000000"/>
          <w:sz w:val="24"/>
          <w:szCs w:val="24"/>
          <w:rFonts w:ascii="Times New Roman" w:eastAsia="SimSun"/>
        </w:rPr>
        <w:t xml:space="preserve">现状：</w:t>
      </w:r>
      <w:r>
        <w:rPr>
          <w:b w:val="false"/>
          <w:bCs w:val="false"/>
          <w:color w:val="000000"/>
          <w:sz w:val="24"/>
          <w:szCs w:val="24"/>
          <w:rFonts w:ascii="Times New Roman" w:eastAsia="SimSun"/>
        </w:rPr>
        <w:t xml:space="preserve">权限体系（三层角色、按事项审批、团队只读、冲突检索最小披露）整体领先于文章模型，且已有多组权限回归测试（角色、团队、申请附件、撤权、会话失效），覆盖部分真实撤权场景；仍需核对跨入口权限矩阵的完整性并补充真实端到端验证。安全侧经核实存在三处底线缺口：客户证件号明文入库；登录无失败锁定、无双步验证，实例暴露公网时这是最先被打的面；文书审查入口仅当文档归属案件时才执行案件级访问断言（C07），收案材料分支与外部识别处理的授权需专项核验——这是核验任务，不预设已发生泄露。</w:t>
      </w:r>
    </w:p>
    <w:p>
      <w:pPr>
        <w:spacing w:line="312" w:after="60"/>
        <w:ind w:firstLine="480"/>
        <w:jc w:val="both"/>
      </w:pPr>
      <w:r>
        <w:rPr>
          <w:b/>
          <w:bCs/>
          <w:color w:val="000000"/>
          <w:sz w:val="24"/>
          <w:szCs w:val="24"/>
          <w:rFonts w:ascii="Times New Roman" w:eastAsia="SimSun"/>
        </w:rPr>
        <w:t xml:space="preserve">建议：</w:t>
      </w:r>
      <w:r>
        <w:rPr>
          <w:b w:val="false"/>
          <w:bCs w:val="false"/>
          <w:color w:val="000000"/>
          <w:sz w:val="24"/>
          <w:szCs w:val="24"/>
          <w:rFonts w:ascii="Times New Roman" w:eastAsia="SimSun"/>
        </w:rPr>
        <w:t xml:space="preserve">P0 实施登录失败临时锁定与可选的一次性口令双步验证（管理员账号可强制），并对人工智能各入口做权限矩阵专项核验，在现有测试基础上补跨入口越权路径用例（最小权限账号直调他人案件接口、无导出权走导出接口、过期账号重放）。P1 实施证件号加密存储加散列盲索引（支持查重与冲突匹配的等值检索），建立密钥版本字段并文档化轮换流程，将“字段、加密等级、可访问角色”矩阵写入数据模型文档。下载水印作用于明确标识的衍生副本，原文件及其校验值必须保留，不得统一改写原件或已签章文件，也不能以带水印副本冒充原文件。</w:t>
      </w:r>
    </w:p>
    <w:p>
      <w:pPr>
        <w:pStyle w:val="Heading2"/>
        <w:keepNext/>
        <w:spacing w:before="280" w:after="120" w:line="350" w:lineRule="atLeast"/>
      </w:pPr>
      <w:bookmarkStart w:id="100022" w:name="_Toc100022"/>
      <w:r>
        <w:rPr>
          <w:b/>
          <w:bCs/>
          <w:color w:val="2A4A3A"/>
          <w:sz w:val="28"/>
          <w:szCs w:val="28"/>
          <w:rFonts w:ascii="Times New Roman" w:eastAsia="SimHei"/>
        </w:rPr>
        <w:t xml:space="preserve">5.7 集成与外部同步（A14）</w:t>
      </w:r>
      <w:bookmarkEnd w:id="100022"/>
    </w:p>
    <w:p>
      <w:pPr>
        <w:spacing w:line="312" w:after="60"/>
        <w:ind w:firstLine="480"/>
        <w:jc w:val="both"/>
      </w:pPr>
      <w:r>
        <w:rPr>
          <w:b/>
          <w:bCs/>
          <w:color w:val="000000"/>
          <w:sz w:val="24"/>
          <w:szCs w:val="24"/>
          <w:rFonts w:ascii="Times New Roman" w:eastAsia="SimSun"/>
        </w:rPr>
        <w:t xml:space="preserve">现状：</w:t>
      </w:r>
      <w:r>
        <w:rPr>
          <w:b w:val="false"/>
          <w:bCs w:val="false"/>
          <w:color w:val="000000"/>
          <w:sz w:val="24"/>
          <w:szCs w:val="24"/>
          <w:rFonts w:ascii="Times New Roman" w:eastAsia="SimSun"/>
        </w:rPr>
        <w:t xml:space="preserve">外部依赖少（开放平台按次计费调用、群机器人推送、日历订阅），文章的幂等表、死信区、全量对账全套现阶段属于过度设计。但人工智能与外部调用无统一台账：发票识别、文书审查、案由推荐各自为政，按次计费的消耗与失败均不可见。</w:t>
      </w:r>
    </w:p>
    <w:p>
      <w:pPr>
        <w:spacing w:line="312" w:after="60"/>
        <w:ind w:firstLine="480"/>
        <w:jc w:val="both"/>
      </w:pPr>
      <w:r>
        <w:rPr>
          <w:b/>
          <w:bCs/>
          <w:color w:val="000000"/>
          <w:sz w:val="24"/>
          <w:szCs w:val="24"/>
          <w:rFonts w:ascii="Times New Roman" w:eastAsia="SimSun"/>
        </w:rPr>
        <w:t xml:space="preserve">建议（P1）：</w:t>
      </w:r>
      <w:r>
        <w:rPr>
          <w:b w:val="false"/>
          <w:bCs w:val="false"/>
          <w:color w:val="000000"/>
          <w:sz w:val="24"/>
          <w:szCs w:val="24"/>
          <w:rFonts w:ascii="Times New Roman" w:eastAsia="SimSun"/>
        </w:rPr>
        <w:t xml:space="preserve">建立统一的外部调用日志表（服务、接口、耗时、点数消耗、成败、重试次数），设置页展示月度消耗；为未来接入日历或邮件通道预留幂等键与重试骨架，不预先建设完整同步框架。法院短信解析收件箱是 LawLink 相对文章模型的差异化能力（文章亦将法院电子送达收入系统视为头部产品方向），应继续深耕更多短信模板的解析覆盖。</w:t>
      </w:r>
    </w:p>
    <w:p>
      <w:pPr>
        <w:pStyle w:val="Heading2"/>
        <w:keepNext/>
        <w:spacing w:before="280" w:after="120" w:line="350" w:lineRule="atLeast"/>
      </w:pPr>
      <w:bookmarkStart w:id="100023" w:name="_Toc100023"/>
      <w:r>
        <w:rPr>
          <w:b/>
          <w:bCs/>
          <w:color w:val="2A4A3A"/>
          <w:sz w:val="28"/>
          <w:szCs w:val="28"/>
          <w:rFonts w:ascii="Times New Roman" w:eastAsia="SimHei"/>
        </w:rPr>
        <w:t xml:space="preserve">5.8 案件生命周期与架构（A05/10）</w:t>
      </w:r>
      <w:bookmarkEnd w:id="100023"/>
    </w:p>
    <w:p>
      <w:pPr>
        <w:spacing w:line="312" w:after="60"/>
        <w:ind w:firstLine="480"/>
        <w:jc w:val="both"/>
      </w:pPr>
      <w:r>
        <w:rPr>
          <w:b/>
          <w:bCs/>
          <w:color w:val="000000"/>
          <w:sz w:val="24"/>
          <w:szCs w:val="24"/>
          <w:rFonts w:ascii="Times New Roman" w:eastAsia="SimSun"/>
        </w:rPr>
        <w:t xml:space="preserve">现状：</w:t>
      </w:r>
      <w:r>
        <w:rPr>
          <w:b w:val="false"/>
          <w:bCs w:val="false"/>
          <w:color w:val="000000"/>
          <w:sz w:val="24"/>
          <w:szCs w:val="24"/>
          <w:rFonts w:ascii="Times New Roman" w:eastAsia="SimSun"/>
        </w:rPr>
        <w:t xml:space="preserve">状态机、统一审批与归档三事实分离（勾选、文件存在、审批人核准互不推断）比文章的归档完整性检查更严格；模块化单体加关系数据库的架构与文章的务实结论一致。任务执行层面：当前可不引入独立消息中间件，但提醒、识别、导出等后台任务仍需持久任务队列机制，数据库队列是候选实现——不能将“不增加中间件”等同于“不需要队列”。挂账的“时间线与审计日志双写待统一入口”正是文章强调的状态迁移与审计同事务、单一来源原则，应优先清偿。</w:t>
      </w:r>
    </w:p>
    <w:p>
      <w:pPr>
        <w:pStyle w:val="Heading1"/>
        <w:keepNext/>
        <w:spacing w:before="400" w:after="180" w:line="380" w:lineRule="atLeast"/>
      </w:pPr>
      <w:bookmarkStart w:id="100024" w:name="_Toc100024"/>
      <w:r>
        <w:rPr>
          <w:b/>
          <w:bCs/>
          <w:color w:val="2A4A3A"/>
          <w:sz w:val="32"/>
          <w:szCs w:val="32"/>
          <w:rFonts w:ascii="Times New Roman" w:eastAsia="SimHei"/>
        </w:rPr>
        <w:t xml:space="preserve">第六章  领域模型演进方向</w:t>
      </w:r>
      <w:bookmarkEnd w:id="100024"/>
    </w:p>
    <w:p>
      <w:pPr>
        <w:pStyle w:val="Heading2"/>
        <w:keepNext/>
        <w:spacing w:before="280" w:after="120" w:line="350" w:lineRule="atLeast"/>
      </w:pPr>
      <w:bookmarkStart w:id="100025" w:name="_Toc100025"/>
      <w:r>
        <w:rPr>
          <w:b/>
          <w:bCs/>
          <w:color w:val="2A4A3A"/>
          <w:sz w:val="28"/>
          <w:szCs w:val="28"/>
          <w:rFonts w:ascii="Times New Roman" w:eastAsia="SimHei"/>
        </w:rPr>
        <w:t xml:space="preserve">6.1 重评报告证据核查结论</w:t>
      </w:r>
      <w:bookmarkEnd w:id="100025"/>
    </w:p>
    <w:p>
      <w:pPr>
        <w:spacing w:line="312" w:after="60"/>
        <w:ind w:firstLine="480"/>
        <w:jc w:val="both"/>
      </w:pPr>
      <w:r>
        <w:rPr>
          <w:b w:val="false"/>
          <w:bCs w:val="false"/>
          <w:color w:val="000000"/>
          <w:sz w:val="24"/>
          <w:szCs w:val="24"/>
          <w:rFonts w:ascii="Times New Roman" w:eastAsia="SimSun"/>
        </w:rPr>
        <w:t xml:space="preserve">重评报告引用的七处代码证据已逐条静态核查，与描述相符，核查明细见附录 B。其中影响最大的是三点：案件实体语义混同（C01）、调度可靠性边界（C04）与财务物理删除路径（C05）。据此，本报告接受重评报告的目标模型方向，并按下文框架决定重构范围。</w:t>
      </w:r>
    </w:p>
    <w:p>
      <w:pPr>
        <w:pStyle w:val="Heading2"/>
        <w:keepNext/>
        <w:spacing w:before="280" w:after="120" w:line="350" w:lineRule="atLeast"/>
      </w:pPr>
      <w:bookmarkStart w:id="100026" w:name="_Toc100026"/>
      <w:r>
        <w:rPr>
          <w:b/>
          <w:bCs/>
          <w:color w:val="2A4A3A"/>
          <w:sz w:val="28"/>
          <w:szCs w:val="28"/>
          <w:rFonts w:ascii="Times New Roman" w:eastAsia="SimHei"/>
        </w:rPr>
        <w:t xml:space="preserve">6.2 五对象目标模型</w:t>
      </w:r>
      <w:bookmarkEnd w:id="100026"/>
    </w:p>
    <w:p>
      <w:pPr>
        <w:spacing w:line="312" w:after="60"/>
        <w:ind w:firstLine="480"/>
        <w:jc w:val="both"/>
      </w:pPr>
      <w:r>
        <w:rPr>
          <w:b w:val="false"/>
          <w:bCs w:val="false"/>
          <w:color w:val="000000"/>
          <w:sz w:val="24"/>
          <w:szCs w:val="24"/>
          <w:rFonts w:ascii="Times New Roman" w:eastAsia="SimSun"/>
        </w:rPr>
        <w:t xml:space="preserve">目标模型将业务对象明确为五类：主体（人与机构的归一身份）、委托（为何服务、为谁服务、服务到何处，含范围与有效期）、工作事项（正在解决什么问题，权限与日常组织的默认单元）、程序（在哪个机构、哪个阶段、以什么角色处理）与材料版本（不可覆盖的证据与文书版本）。其余对象围绕它们建立有类型的关联。</w:t>
      </w:r>
    </w:p>
    <w:p>
      <w:pPr>
        <w:spacing w:line="312" w:after="60"/>
        <w:ind w:firstLine="480"/>
        <w:jc w:val="both"/>
      </w:pPr>
      <w:r>
        <w:rPr>
          <w:b w:val="false"/>
          <w:bCs w:val="false"/>
          <w:color w:val="000000"/>
          <w:sz w:val="24"/>
          <w:szCs w:val="24"/>
          <w:rFonts w:ascii="Times New Roman" w:eastAsia="SimSun"/>
        </w:rPr>
        <w:t xml:space="preserve">迁移路径分两步：第一批仅新增委托对象并挂接现有案件实体，不改页面语义；第二步将案件中属于委托、程序与主张的字段逐步搬出，把案件实体重定义为工作事项。程序是否升级为全局共享实体，应由多委托同程序的真实样本决定，默认不因共享案号自动合并正文。模型是否成立，以下列六个样例为验收门槛：</w:t>
      </w:r>
    </w:p>
    <w:p>
      <w:pPr>
        <w:pStyle w:val="ListParagraph"/>
        <w:numPr>
          <w:ilvl w:val="0"/>
          <w:numId w:val="3"/>
        </w:numPr>
        <w:spacing w:line="312" w:after="40"/>
        <w:jc w:val="both"/>
      </w:pPr>
      <w:r>
        <w:rPr>
          <w:b w:val="false"/>
          <w:bCs w:val="false"/>
          <w:color w:val="000000"/>
          <w:sz w:val="24"/>
          <w:szCs w:val="24"/>
          <w:rFonts w:ascii="Times New Roman" w:eastAsia="SimSun"/>
        </w:rPr>
        <w:t xml:space="preserve">一份委托覆盖多个工作事项；</w:t>
      </w:r>
    </w:p>
    <w:p>
      <w:pPr>
        <w:pStyle w:val="ListParagraph"/>
        <w:numPr>
          <w:ilvl w:val="0"/>
          <w:numId w:val="3"/>
        </w:numPr>
        <w:spacing w:line="312" w:after="40"/>
        <w:jc w:val="both"/>
      </w:pPr>
      <w:r>
        <w:rPr>
          <w:b w:val="false"/>
          <w:bCs w:val="false"/>
          <w:color w:val="000000"/>
          <w:sz w:val="24"/>
          <w:szCs w:val="24"/>
          <w:rFonts w:ascii="Times New Roman" w:eastAsia="SimSun"/>
        </w:rPr>
        <w:t xml:space="preserve">一个事项涉及多个程序但仅承办其中一段；</w:t>
      </w:r>
    </w:p>
    <w:p>
      <w:pPr>
        <w:pStyle w:val="ListParagraph"/>
        <w:numPr>
          <w:ilvl w:val="0"/>
          <w:numId w:val="3"/>
        </w:numPr>
        <w:spacing w:line="312" w:after="40"/>
        <w:jc w:val="both"/>
      </w:pPr>
      <w:r>
        <w:rPr>
          <w:b w:val="false"/>
          <w:bCs w:val="false"/>
          <w:color w:val="000000"/>
          <w:sz w:val="24"/>
          <w:szCs w:val="24"/>
          <w:rFonts w:ascii="Times New Roman" w:eastAsia="SimSun"/>
        </w:rPr>
        <w:t xml:space="preserve">程序发回重审后事实与角色发生变化；</w:t>
      </w:r>
    </w:p>
    <w:p>
      <w:pPr>
        <w:pStyle w:val="ListParagraph"/>
        <w:numPr>
          <w:ilvl w:val="0"/>
          <w:numId w:val="3"/>
        </w:numPr>
        <w:spacing w:line="312" w:after="40"/>
        <w:jc w:val="both"/>
      </w:pPr>
      <w:r>
        <w:rPr>
          <w:b w:val="false"/>
          <w:bCs w:val="false"/>
          <w:color w:val="000000"/>
          <w:sz w:val="24"/>
          <w:szCs w:val="24"/>
          <w:rFonts w:ascii="Times New Roman" w:eastAsia="SimSun"/>
        </w:rPr>
        <w:t xml:space="preserve">同一主体在某案是客户、在另一案是对方当事人；</w:t>
      </w:r>
    </w:p>
    <w:p>
      <w:pPr>
        <w:pStyle w:val="ListParagraph"/>
        <w:numPr>
          <w:ilvl w:val="0"/>
          <w:numId w:val="3"/>
        </w:numPr>
        <w:spacing w:line="312" w:after="40"/>
        <w:jc w:val="both"/>
      </w:pPr>
      <w:r>
        <w:rPr>
          <w:b w:val="false"/>
          <w:bCs w:val="false"/>
          <w:color w:val="000000"/>
          <w:sz w:val="24"/>
          <w:szCs w:val="24"/>
          <w:rFonts w:ascii="Times New Roman" w:eastAsia="SimSun"/>
        </w:rPr>
        <w:t xml:space="preserve">委托终止但仍有未结款项；</w:t>
      </w:r>
    </w:p>
    <w:p>
      <w:pPr>
        <w:pStyle w:val="ListParagraph"/>
        <w:numPr>
          <w:ilvl w:val="0"/>
          <w:numId w:val="3"/>
        </w:numPr>
        <w:spacing w:line="312" w:after="40"/>
        <w:jc w:val="both"/>
      </w:pPr>
      <w:r>
        <w:rPr>
          <w:b w:val="false"/>
          <w:bCs w:val="false"/>
          <w:color w:val="000000"/>
          <w:sz w:val="24"/>
          <w:szCs w:val="24"/>
          <w:rFonts w:ascii="Times New Roman" w:eastAsia="SimSun"/>
        </w:rPr>
        <w:t xml:space="preserve">程序已结束但服务尚未完成。</w:t>
      </w:r>
    </w:p>
    <w:p>
      <w:pPr>
        <w:pStyle w:val="Heading2"/>
        <w:keepNext/>
        <w:spacing w:before="280" w:after="120" w:line="350" w:lineRule="atLeast"/>
      </w:pPr>
      <w:bookmarkStart w:id="100027" w:name="_Toc100027"/>
      <w:r>
        <w:rPr>
          <w:b/>
          <w:bCs/>
          <w:color w:val="2A4A3A"/>
          <w:sz w:val="28"/>
          <w:szCs w:val="28"/>
          <w:rFonts w:ascii="Times New Roman" w:eastAsia="SimHei"/>
        </w:rPr>
        <w:t xml:space="preserve">6.3 材料出处链与事实观点分离</w:t>
      </w:r>
      <w:bookmarkEnd w:id="100027"/>
    </w:p>
    <w:p>
      <w:pPr>
        <w:spacing w:line="312" w:after="60"/>
        <w:ind w:firstLine="480"/>
        <w:jc w:val="both"/>
      </w:pPr>
      <w:r>
        <w:rPr>
          <w:b w:val="false"/>
          <w:bCs w:val="false"/>
          <w:color w:val="000000"/>
          <w:sz w:val="24"/>
          <w:szCs w:val="24"/>
          <w:rFonts w:ascii="Times New Roman" w:eastAsia="SimSun"/>
        </w:rPr>
        <w:t xml:space="preserve">材料不应仅是案件下的一组文件。目标结构至少区分：原始载体、逻辑文档、不可覆盖版本、页段或音视频时间段、人工形成的证据项，以及固定范围的交付包。页码须区分物理页、材料自身页码与汇编连续页码，三者不得混为一个数字。事实与观点分开记录：材料直接内容、当事人主张、工作人员分析、争议问题与待核事项逐条引用来源；关系数据库足以承载第一阶段，不因画出关系图而引入图数据库。对外交付的证据目录与文书是确定时点的成果版本，应固定引用材料、排序、页码与操作人，原材料或判断变更时标出受影响的成果并要求复核，不得静默改动旧提交包。</w:t>
      </w:r>
    </w:p>
    <w:p>
      <w:pPr>
        <w:pStyle w:val="Heading2"/>
        <w:keepNext/>
        <w:spacing w:before="280" w:after="120" w:line="350" w:lineRule="atLeast"/>
      </w:pPr>
      <w:bookmarkStart w:id="100028" w:name="_Toc100028"/>
      <w:r>
        <w:rPr>
          <w:b/>
          <w:bCs/>
          <w:color w:val="2A4A3A"/>
          <w:sz w:val="28"/>
          <w:szCs w:val="28"/>
          <w:rFonts w:ascii="Times New Roman" w:eastAsia="SimHei"/>
        </w:rPr>
        <w:t xml:space="preserve">6.4 状态轴分离与三个时钟</w:t>
      </w:r>
      <w:bookmarkEnd w:id="100028"/>
    </w:p>
    <w:p>
      <w:pPr>
        <w:spacing w:line="312" w:after="60"/>
        <w:ind w:firstLine="480"/>
        <w:jc w:val="both"/>
      </w:pPr>
      <w:r>
        <w:rPr>
          <w:b w:val="false"/>
          <w:bCs w:val="false"/>
          <w:color w:val="000000"/>
          <w:sz w:val="24"/>
          <w:szCs w:val="24"/>
          <w:rFonts w:ascii="Times New Roman" w:eastAsia="SimSun"/>
        </w:rPr>
        <w:t xml:space="preserve">程序进展、委托服务、任务执行、审阅批准与材料完备程度是五条相关但不等同的状态轴：程序已结不等于收费结清，收款完成不等于服务完成，材料已上传不等于证据已核验。文章的串行生命周期适合概览，不宜作为强制状态机。时间维度保留三个时钟：外部程序的发生时间、本所实际知悉或处理时间、系统记录时间，避免把上传日期当作形成日期、把系统结案当作法院审结。</w:t>
      </w:r>
    </w:p>
    <w:p>
      <w:pPr>
        <w:pStyle w:val="Heading2"/>
        <w:keepNext/>
        <w:spacing w:before="280" w:after="120" w:line="350" w:lineRule="atLeast"/>
      </w:pPr>
      <w:bookmarkStart w:id="100029" w:name="_Toc100029"/>
      <w:r>
        <w:rPr>
          <w:b/>
          <w:bCs/>
          <w:color w:val="2A4A3A"/>
          <w:sz w:val="28"/>
          <w:szCs w:val="28"/>
          <w:rFonts w:ascii="Times New Roman" w:eastAsia="SimHei"/>
        </w:rPr>
        <w:t xml:space="preserve">6.5 可靠性工程</w:t>
      </w:r>
      <w:bookmarkEnd w:id="100029"/>
    </w:p>
    <w:p>
      <w:pPr>
        <w:spacing w:line="312" w:after="60"/>
        <w:ind w:firstLine="480"/>
        <w:jc w:val="both"/>
      </w:pPr>
      <w:r>
        <w:rPr>
          <w:b w:val="false"/>
          <w:bCs w:val="false"/>
          <w:color w:val="000000"/>
          <w:sz w:val="24"/>
          <w:szCs w:val="24"/>
          <w:rFonts w:ascii="Times New Roman" w:eastAsia="SimSun"/>
        </w:rPr>
        <w:t xml:space="preserve">以持久任务队列实现独立后台执行器（数据库队列是候选实现），承担提醒、识别、导出与同步任务：任务带租约、幂等标识、重试次数与死信归属；业务写入与待发事件在同一事务落库（事务性发件箱原则），发送失败单独补发、重复事件不重复生效、宕机后按计划补偿。网页成功、数据库提交、文件可读、外部发送成功分别记录状态，不以单一已完成字段概括全程。备份必须作为产品能力设计：版本化清单、数据库与文件的一致性边界、密钥恢复条件与隔离恢复演练；完整导出同时给人可读目录与机器可读关系，用户离开系统后仍能理解自己的成果。</w:t>
      </w:r>
    </w:p>
    <w:p>
      <w:pPr>
        <w:pStyle w:val="Heading2"/>
        <w:keepNext/>
        <w:spacing w:before="280" w:after="120" w:line="350" w:lineRule="atLeast"/>
      </w:pPr>
      <w:bookmarkStart w:id="100030" w:name="_Toc100030"/>
      <w:r>
        <w:rPr>
          <w:b/>
          <w:bCs/>
          <w:color w:val="2A4A3A"/>
          <w:sz w:val="28"/>
          <w:szCs w:val="28"/>
          <w:rFonts w:ascii="Times New Roman" w:eastAsia="SimHei"/>
        </w:rPr>
        <w:t xml:space="preserve">6.6 重构范围的判断框架</w:t>
      </w:r>
      <w:bookmarkEnd w:id="100030"/>
    </w:p>
    <w:p>
      <w:pPr>
        <w:spacing w:line="312" w:after="60"/>
        <w:ind w:firstLine="480"/>
        <w:jc w:val="both"/>
      </w:pPr>
      <w:r>
        <w:rPr>
          <w:b w:val="false"/>
          <w:bCs w:val="false"/>
          <w:color w:val="000000"/>
          <w:sz w:val="24"/>
          <w:szCs w:val="24"/>
          <w:rFonts w:ascii="Times New Roman" w:eastAsia="SimSun"/>
        </w:rPr>
        <w:t xml:space="preserve">先确定目标模型，再以同等验收要求比较复用与重建，决定重构范围；不预设增量或重写结论。两条纵向样例用于检验现有代码能否形成清晰的业务边界，并满足权限、材料来源与故障恢复要求：样例一为收到图文材料、形成证据项、生成目录与提交包、修改材料后旧成果保持不变；样例二为收到期限触发材料、人工确认、生成提醒、模拟宕机与发送失败后恢复并留痕。能够通过样例的实现可以复用；无法通过且持续增加双套事实或耦合的部分应重建，必要时扩大至整个应用。</w:t>
      </w:r>
    </w:p>
    <w:p>
      <w:pPr>
        <w:spacing w:line="312" w:after="60"/>
        <w:ind w:firstLine="480"/>
        <w:jc w:val="both"/>
      </w:pPr>
      <w:r>
        <w:rPr>
          <w:b w:val="false"/>
          <w:bCs w:val="false"/>
          <w:color w:val="000000"/>
          <w:sz w:val="24"/>
          <w:szCs w:val="24"/>
          <w:rFonts w:ascii="Times New Roman" w:eastAsia="SimSun"/>
        </w:rPr>
        <w:t xml:space="preserve">结论的敏感性：若产品转向跨所平台运营，需重新论证多租户与运营体系；若长期离线成为首要条件，桌面本地优先路线将胜过当前推荐；若公开接口与原生客户端成为主要写入方，独立业务接口层应升为首选架构。上述条件是判断变化的依据，不是现在就建设的功能清单。</w:t>
      </w:r>
    </w:p>
    <w:p>
      <w:pPr>
        <w:pStyle w:val="Heading1"/>
        <w:keepNext/>
        <w:spacing w:before="400" w:after="180" w:line="380" w:lineRule="atLeast"/>
      </w:pPr>
      <w:bookmarkStart w:id="100031" w:name="_Toc100031"/>
      <w:r>
        <w:rPr>
          <w:b/>
          <w:bCs/>
          <w:color w:val="2A4A3A"/>
          <w:sz w:val="32"/>
          <w:szCs w:val="32"/>
          <w:rFonts w:ascii="Times New Roman" w:eastAsia="SimHei"/>
        </w:rPr>
        <w:t xml:space="preserve">第七章  改进路线图</w:t>
      </w:r>
      <w:bookmarkEnd w:id="100031"/>
    </w:p>
    <w:p>
      <w:pPr>
        <w:spacing w:line="312" w:after="60"/>
        <w:ind w:firstLine="480"/>
        <w:jc w:val="both"/>
      </w:pPr>
      <w:r>
        <w:rPr>
          <w:b w:val="false"/>
          <w:bCs w:val="false"/>
          <w:color w:val="000000"/>
          <w:sz w:val="24"/>
          <w:szCs w:val="24"/>
          <w:rFonts w:ascii="Times New Roman" w:eastAsia="SimSun"/>
        </w:rPr>
        <w:t xml:space="preserve">路线图分三层，表示优先级与依赖顺序：P0 为底线补强，P1 为结构性强化，P2 为目标形态演进（验收驱动）。所附一至两周、一至两个月均为未经拆解的粗略量级，假设条件为：由熟悉本仓库的工程师投入、不因制度决策阻塞、各项相对独立；实际排期须在完成范围拆解与人员投入确认后估算，本表不作为排期依据。每一项均标注依据与验收要点，便于逐项核销。</w:t>
      </w:r>
    </w:p>
    <w:p>
      <w:pPr>
        <w:keepNext/>
        <w:spacing w:before="240" w:after="80" w:line="312"/>
        <w:jc w:val="center"/>
      </w:pPr>
      <w:r>
        <w:rPr>
          <w:b/>
          <w:bCs/>
          <w:color w:val="2A4A3A"/>
          <w:sz w:val="21"/>
          <w:szCs w:val="21"/>
          <w:rFonts w:ascii="Times New Roman" w:eastAsia="SimHei"/>
        </w:rPr>
        <w:t xml:space="preserve">表 7-1  P0 底线补强清单（粗略量级：约一至两周）</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gridCol w:w="100"/>
      </w:tblGrid>
      <w:tr>
        <w:trPr>
          <w:cantSplit/>
          <w:tblHeader/>
        </w:trPr>
        <w:tc>
          <w:tcPr>
            <w:tcW w:type="pct" w:w="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序号</w:t>
            </w:r>
          </w:p>
        </w:tc>
        <w:tc>
          <w:tcPr>
            <w:tcW w:type="pct" w:w="3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改进事项</w:t>
            </w:r>
          </w:p>
        </w:tc>
        <w:tc>
          <w:tcPr>
            <w:tcW w:type="pct" w:w="22%"/>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依据</w:t>
            </w:r>
          </w:p>
        </w:tc>
        <w:tc>
          <w:tcPr>
            <w:tcW w:type="pct" w:w="38%"/>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验收要点</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客户主数据查重与合并（证件类型、有效记录部分唯一索引、三入口查重）</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A02/06/11；数据库核实</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三个入口拦截重复建档；有效记录唯一性生效；合并留审计</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2</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文档文本层与数据库全文检索（含最低限度版本关联、页码定位、授权检查、失败状态）</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A07；更正意见第 8 条</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上线即具备四项基础；检索复用案件权限过滤；撤权后索引不可命中</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3</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登录失败锁定与可选双步验证</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A13</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连续失败锁定生效；管理员账号可强制双步验证</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4</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人工智能入口权限专项核验与跨入口越权用例</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C07；A12</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收案材料分支有明确结论；越权路径用例全部拦截</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5</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统一提醒配置与执行、补持久投递与责任升级</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C04；A09；更正意见第 3 条</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期限自定义配置生效；发送失败可重试补发；升级通知校验接收资格</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6</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明确财务确认口径并限制已确认记录删除及替换</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C05；A08</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已确认记录不可物理删除或静默替换；发号并发安全</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7</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群机器人推送状态可见</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A14</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设置页可见最近投递结果与失败原因</w:t>
            </w:r>
          </w:p>
        </w:tc>
      </w:tr>
    </w:tbl>
    <w:p>
      <w:pPr>
        <w:keepNext/>
        <w:spacing w:before="240" w:after="80" w:line="312"/>
        <w:jc w:val="center"/>
      </w:pPr>
      <w:r>
        <w:rPr>
          <w:b/>
          <w:bCs/>
          <w:color w:val="2A4A3A"/>
          <w:sz w:val="21"/>
          <w:szCs w:val="21"/>
          <w:rFonts w:ascii="Times New Roman" w:eastAsia="SimHei"/>
        </w:rPr>
        <w:t xml:space="preserve">表 7-2  P1 结构强化清单（粗略量级：约一至两个月）</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tblGrid>
      <w:tr>
        <w:trPr>
          <w:cantSplit/>
          <w:tblHeader/>
        </w:trPr>
        <w:tc>
          <w:tcPr>
            <w:tcW w:type="pct" w:w="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序号</w:t>
            </w:r>
          </w:p>
        </w:tc>
        <w:tc>
          <w:tcPr>
            <w:tcW w:type="pct" w:w="4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改进事项</w:t>
            </w:r>
          </w:p>
        </w:tc>
        <w:tc>
          <w:tcPr>
            <w:tcW w:type="pct" w:w="48%"/>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依据与要点</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持久任务队列与后台执行器（数据库队列为候选实现；租约、幂等、死信）</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C04；A09/14；解决错过触发与停机补偿</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2</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财务核销模型（应收、实收、分配、冲正分离）</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C05；A08；已确认款项禁止物理删除，更正走关联记录</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3</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派生内容权限继承与撤权失效</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重评；A07；索引、缩略图继承源权限</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4</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证件号加密与盲索引</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A11/13；支持查重与冲突等值检索</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5</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个人级提醒渠道与逾期升级（含接收资格校验）</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A09；依赖 P1 任务队列</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6</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人工智能审查分段处理与审查历史展示</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C06；A07；突破六千字符上限，审查记录可回看</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7</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关联案件增加关系类型、方向与时间</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C01；为 P2 程序共享铺路</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8</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下载水印（仅作用于衍生副本，原件及校验值保留）</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A12；与脱敏、审计构成三叠加</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9</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外部调用台账与成本可见</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A14；月度消耗与失败率可见</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10</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部署者文档三件套（恢复演练、升级、数据分级）</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A03/04；自部署产品成熟度</w:t>
            </w:r>
          </w:p>
        </w:tc>
      </w:tr>
    </w:tbl>
    <w:p>
      <w:pPr>
        <w:keepNext/>
        <w:spacing w:before="240" w:after="80" w:line="312"/>
        <w:jc w:val="center"/>
      </w:pPr>
      <w:r>
        <w:rPr>
          <w:b/>
          <w:bCs/>
          <w:color w:val="2A4A3A"/>
          <w:sz w:val="21"/>
          <w:szCs w:val="21"/>
          <w:rFonts w:ascii="Times New Roman" w:eastAsia="SimHei"/>
        </w:rPr>
        <w:t xml:space="preserve">表 7-3  P2 目标形态演进清单（验收驱动，不设固定工期）</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gridCol w:w="100"/>
      </w:tblGrid>
      <w:tr>
        <w:trPr>
          <w:cantSplit/>
          <w:tblHeader/>
        </w:trPr>
        <w:tc>
          <w:tcPr>
            <w:tcW w:type="pct" w:w="8%"/>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方向</w:t>
            </w:r>
          </w:p>
        </w:tc>
        <w:tc>
          <w:tcPr>
            <w:tcW w:type="pct" w:w="3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内容</w:t>
            </w:r>
          </w:p>
        </w:tc>
        <w:tc>
          <w:tcPr>
            <w:tcW w:type="pct" w:w="2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前置条件</w:t>
            </w:r>
          </w:p>
        </w:tc>
        <w:tc>
          <w:tcPr>
            <w:tcW w:type="pct" w:w="30%"/>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验收</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五对象模型</w:t>
            </w:r>
          </w:p>
        </w:tc>
        <w:tc>
          <w:tcPr>
            <w:tcW w:type="pct" w:w="3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新增委托对象并挂接，逐步把案件重定义为工作事项</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制度确认；两步迁移方案评审</w:t>
            </w:r>
          </w:p>
        </w:tc>
        <w:tc>
          <w:tcPr>
            <w:tcW w:type="pct" w:w="3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六个样例全部通过</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材料出处链</w:t>
            </w:r>
          </w:p>
        </w:tc>
        <w:tc>
          <w:tcPr>
            <w:tcW w:type="pct" w:w="3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页级出处、三类页码、证据项与交付包固定</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P0 文本层及其基础依赖完成</w:t>
            </w:r>
          </w:p>
        </w:tc>
        <w:tc>
          <w:tcPr>
            <w:tcW w:type="pct" w:w="3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成果绑定材料版本；每页有处理状态</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状态轴分离</w:t>
            </w:r>
          </w:p>
        </w:tc>
        <w:tc>
          <w:tcPr>
            <w:tcW w:type="pct" w:w="3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五条状态轴与三个时钟落地</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样例验证</w:t>
            </w:r>
          </w:p>
        </w:tc>
        <w:tc>
          <w:tcPr>
            <w:tcW w:type="pct" w:w="3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程序、收费、服务、核验互不推断</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受控回传</w:t>
            </w:r>
          </w:p>
        </w:tc>
        <w:tc>
          <w:tcPr>
            <w:tcW w:type="pct" w:w="3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从事项直接打开文字处理文件并受控回传版本</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桌面连接器立项</w:t>
            </w:r>
          </w:p>
        </w:tc>
        <w:tc>
          <w:tcPr>
            <w:tcW w:type="pct" w:w="3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回传成版本并记录编辑人与冲突</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治理分级</w:t>
            </w:r>
          </w:p>
        </w:tc>
        <w:tc>
          <w:tcPr>
            <w:tcW w:type="pct" w:w="3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低影响动作自确认作为显式配置</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制度决策事项三通过</w:t>
            </w:r>
          </w:p>
        </w:tc>
        <w:tc>
          <w:tcPr>
            <w:tcW w:type="pct" w:w="3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高风险动作仍走现行审批</w:t>
            </w:r>
          </w:p>
        </w:tc>
      </w:tr>
    </w:tbl>
    <w:p>
      <w:pPr>
        <w:pStyle w:val="Heading1"/>
        <w:keepNext/>
        <w:spacing w:before="400" w:after="180" w:line="380" w:lineRule="atLeast"/>
      </w:pPr>
      <w:bookmarkStart w:id="100032" w:name="_Toc100032"/>
      <w:r>
        <w:rPr>
          <w:b/>
          <w:bCs/>
          <w:color w:val="2A4A3A"/>
          <w:sz w:val="32"/>
          <w:szCs w:val="32"/>
          <w:rFonts w:ascii="Times New Roman" w:eastAsia="SimHei"/>
        </w:rPr>
        <w:t xml:space="preserve">第八章  制度级决策事项</w:t>
      </w:r>
      <w:bookmarkEnd w:id="100032"/>
    </w:p>
    <w:p>
      <w:pPr>
        <w:spacing w:line="312" w:after="60"/>
        <w:ind w:firstLine="480"/>
        <w:jc w:val="both"/>
      </w:pPr>
      <w:r>
        <w:rPr>
          <w:b w:val="false"/>
          <w:bCs w:val="false"/>
          <w:color w:val="000000"/>
          <w:sz w:val="24"/>
          <w:szCs w:val="24"/>
          <w:rFonts w:ascii="Times New Roman" w:eastAsia="SimSun"/>
        </w:rPr>
        <w:t xml:space="preserve">重评报告有三处建议触及工作区现行制度所载的设计。评估标准上，这些设计均纳入重新评估：是否保留由其适用条件、业务价值、风险、使用负担与长期维护成本的比较结果决定，不因既往确认而免于评价。程序上，按工作区规则“规则与实践冲突时，先改本文件、再改代码”，制度变更须先修订制度文件并履行审批，方可进入实施；程序是实施要求，不替代下表的比较论证。本报告对每处列出比较要点与倾向，供决策参考。</w:t>
      </w:r>
    </w:p>
    <w:p>
      <w:pPr>
        <w:keepNext/>
        <w:spacing w:before="240" w:after="80" w:line="312"/>
        <w:jc w:val="center"/>
      </w:pPr>
      <w:r>
        <w:rPr>
          <w:b/>
          <w:bCs/>
          <w:color w:val="2A4A3A"/>
          <w:sz w:val="21"/>
          <w:szCs w:val="21"/>
          <w:rFonts w:ascii="Times New Roman" w:eastAsia="SimHei"/>
        </w:rPr>
        <w:t xml:space="preserve">表 8-1  制度级决策清单</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gridCol w:w="100"/>
      </w:tblGrid>
      <w:tr>
        <w:trPr>
          <w:cantSplit/>
          <w:tblHeader/>
        </w:trPr>
        <w:tc>
          <w:tcPr>
            <w:tcW w:type="pct" w:w="1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事项</w:t>
            </w:r>
          </w:p>
        </w:tc>
        <w:tc>
          <w:tcPr>
            <w:tcW w:type="pct" w:w="2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现行设计（出处）</w:t>
            </w:r>
          </w:p>
        </w:tc>
        <w:tc>
          <w:tcPr>
            <w:tcW w:type="pct" w:w="2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重评主张</w:t>
            </w:r>
          </w:p>
        </w:tc>
        <w:tc>
          <w:tcPr>
            <w:tcW w:type="pct" w:w="3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比较要点与本报告倾向</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团队历史访问默认</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团队负责人自动查看团队成员原始立案或当前主办的全部案件（2026 年 9 月 6 日确认）</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改为案件明确授权，团队仅作分配便利，限制优先</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比较要点：历史案件回看的真实频率、人员调组频率、越权阅读的后果。倾向：若保留自动汇总，须补受限事项标记与撤权复核提示；若比较显示历史扩散风险显著，转向明确授权</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建号必传证件照片</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管理员新增用户必须登记证件类型、号码并上传至少一张证件照片（个人身份章节）</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账号开通与证件采集解耦，按用途启用</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比较要点：纯协作场景的真实占比、证件最小化要求与留存负担。倾向：若存在纯协作场景，增设受限协作账号类型（不采集证件）与实名账号并存；实名账号默认维持</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普遍按事项审批</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所有账号统一按事项授权，系统管理身份不提供审批捷径（按事项审批章节）</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按风险分级，低影响动作免审批</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比较要点：流程负担与风控收益的实际平衡。倾向：在既有单人执业例外基础上，将低影响动作自确认做成显式配置项；法定代表人章等高风险约束维持现行审批</w:t>
            </w:r>
          </w:p>
        </w:tc>
      </w:tr>
    </w:tbl>
    <w:p>
      <w:pPr>
        <w:pStyle w:val="Heading1"/>
        <w:keepNext/>
        <w:spacing w:before="400" w:after="180" w:line="380" w:lineRule="atLeast"/>
      </w:pPr>
      <w:bookmarkStart w:id="100033" w:name="_Toc100033"/>
      <w:r>
        <w:rPr>
          <w:b/>
          <w:bCs/>
          <w:color w:val="2A4A3A"/>
          <w:sz w:val="32"/>
          <w:szCs w:val="32"/>
          <w:rFonts w:ascii="Times New Roman" w:eastAsia="SimHei"/>
        </w:rPr>
        <w:t xml:space="preserve">第九章  明确不做与暂缓清单</w:t>
      </w:r>
      <w:bookmarkEnd w:id="100033"/>
    </w:p>
    <w:p>
      <w:pPr>
        <w:spacing w:line="312" w:after="60"/>
        <w:ind w:firstLine="480"/>
        <w:jc w:val="both"/>
      </w:pPr>
      <w:r>
        <w:rPr>
          <w:b w:val="false"/>
          <w:bCs w:val="false"/>
          <w:color w:val="000000"/>
          <w:sz w:val="24"/>
          <w:szCs w:val="24"/>
          <w:rFonts w:ascii="Times New Roman" w:eastAsia="SimSun"/>
        </w:rPr>
        <w:t xml:space="preserve">为防止改进过程滑向大所级重功能路线，以下事项明确不做或设触发条件后暂缓。判断依据统一为：是否服务一至五人小所的真实工作负荷，是否引入与收益不成比例的运维负担。</w:t>
      </w:r>
    </w:p>
    <w:p>
      <w:pPr>
        <w:keepNext/>
        <w:spacing w:before="240" w:after="80" w:line="312"/>
        <w:jc w:val="center"/>
      </w:pPr>
      <w:r>
        <w:rPr>
          <w:b/>
          <w:bCs/>
          <w:color w:val="2A4A3A"/>
          <w:sz w:val="21"/>
          <w:szCs w:val="21"/>
          <w:rFonts w:ascii="Times New Roman" w:eastAsia="SimHei"/>
        </w:rPr>
        <w:t xml:space="preserve">表 9-1  不做与暂缓清单</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tblGrid>
      <w:tr>
        <w:trPr>
          <w:cantSplit/>
          <w:tblHeader/>
        </w:trPr>
        <w:tc>
          <w:tcPr>
            <w:tcW w:type="pct" w:w="3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事项</w:t>
            </w:r>
          </w:p>
        </w:tc>
        <w:tc>
          <w:tcPr>
            <w:tcW w:type="pct" w:w="6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理由</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预设全量重写</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不预设增量或重写结论：先定目标模型，再以两条纵向样例的同等验收比较复用与重建</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微服务拆分</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无独立扩展边界诉求，跨服务一致性与运维成本高于收益</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多租户与租户标识预留</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单实例定位明确，预留字段将污染全部查询</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独立搜索引擎集群</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暂缓而非绝对排除：以中文卷宗样本验证数据库分词方案的召回与维护成本后再决定</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欧美电子账单标准（LEDES/UTBMS）</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服务跨境 e-billing 场景，国内小所无此合规压力</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日历双向同步（CalDAV）</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单向订阅已覆盖场景，冲突处理成本远超收益</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工时双口径计时系统</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与按件收费定位冲突，保留轻量服务台账方向即可</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客户自动分级规则引擎</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销售管理机制过重，保留来源渠道统计</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证物监管链全流程</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视所内物证保管需求再议，列为条件触发项</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离线优先架构</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仅长期断网刚需成立时触发，须接受同步取舍</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向量检索</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实测证明提升可核验召回后再引入，不以相似度冒充证明力</w:t>
            </w:r>
          </w:p>
        </w:tc>
      </w:tr>
    </w:tbl>
    <w:p>
      <w:pPr>
        <w:pStyle w:val="Heading1"/>
        <w:keepNext/>
        <w:spacing w:before="400" w:after="180" w:line="380" w:lineRule="atLeast"/>
      </w:pPr>
      <w:bookmarkStart w:id="100034" w:name="_Toc100034"/>
      <w:r>
        <w:rPr>
          <w:b/>
          <w:bCs/>
          <w:color w:val="2A4A3A"/>
          <w:sz w:val="32"/>
          <w:szCs w:val="32"/>
          <w:rFonts w:ascii="Times New Roman" w:eastAsia="SimHei"/>
        </w:rPr>
        <w:t xml:space="preserve">第十章  验收标准与风险提示</w:t>
      </w:r>
      <w:bookmarkEnd w:id="100034"/>
    </w:p>
    <w:p>
      <w:pPr>
        <w:pStyle w:val="Heading2"/>
        <w:keepNext/>
        <w:spacing w:before="280" w:after="120" w:line="350" w:lineRule="atLeast"/>
      </w:pPr>
      <w:bookmarkStart w:id="100035" w:name="_Toc100035"/>
      <w:r>
        <w:rPr>
          <w:b/>
          <w:bCs/>
          <w:color w:val="2A4A3A"/>
          <w:sz w:val="28"/>
          <w:szCs w:val="28"/>
          <w:rFonts w:ascii="Times New Roman" w:eastAsia="SimHei"/>
        </w:rPr>
        <w:t xml:space="preserve">10.1 分层验收门槛</w:t>
      </w:r>
      <w:bookmarkEnd w:id="100035"/>
    </w:p>
    <w:p>
      <w:pPr>
        <w:spacing w:line="312" w:after="60"/>
        <w:ind w:firstLine="480"/>
        <w:jc w:val="both"/>
      </w:pPr>
      <w:r>
        <w:rPr>
          <w:b w:val="false"/>
          <w:bCs w:val="false"/>
          <w:color w:val="000000"/>
          <w:sz w:val="24"/>
          <w:szCs w:val="24"/>
          <w:rFonts w:ascii="Times New Roman" w:eastAsia="SimSun"/>
        </w:rPr>
        <w:t xml:space="preserve">各层改进以统一验收门槛衡量，任一门槛未通过，不以功能数量抵销：</w:t>
      </w:r>
    </w:p>
    <w:p>
      <w:pPr>
        <w:pStyle w:val="ListParagraph"/>
        <w:numPr>
          <w:ilvl w:val="0"/>
          <w:numId w:val="4"/>
        </w:numPr>
        <w:spacing w:line="312" w:after="40"/>
        <w:jc w:val="both"/>
      </w:pPr>
      <w:r>
        <w:rPr>
          <w:b w:val="false"/>
          <w:bCs w:val="false"/>
          <w:color w:val="000000"/>
          <w:sz w:val="24"/>
          <w:szCs w:val="24"/>
          <w:rFonts w:ascii="Times New Roman" w:eastAsia="SimSun"/>
        </w:rPr>
        <w:t xml:space="preserve">跨入口权限矩阵完整性核对通过，最小权限账号的越权路径全部被拦截；</w:t>
      </w:r>
    </w:p>
    <w:p>
      <w:pPr>
        <w:pStyle w:val="ListParagraph"/>
        <w:numPr>
          <w:ilvl w:val="0"/>
          <w:numId w:val="4"/>
        </w:numPr>
        <w:spacing w:line="312" w:after="40"/>
        <w:jc w:val="both"/>
      </w:pPr>
      <w:r>
        <w:rPr>
          <w:b w:val="false"/>
          <w:bCs w:val="false"/>
          <w:color w:val="000000"/>
          <w:sz w:val="24"/>
          <w:szCs w:val="24"/>
          <w:rFonts w:ascii="Times New Roman" w:eastAsia="SimSun"/>
        </w:rPr>
        <w:t xml:space="preserve">正式成果绑定材料版本与页码出处，原材料变更能标出受影响的成果；</w:t>
      </w:r>
    </w:p>
    <w:p>
      <w:pPr>
        <w:pStyle w:val="ListParagraph"/>
        <w:numPr>
          <w:ilvl w:val="0"/>
          <w:numId w:val="4"/>
        </w:numPr>
        <w:spacing w:line="312" w:after="40"/>
        <w:jc w:val="both"/>
      </w:pPr>
      <w:r>
        <w:rPr>
          <w:b w:val="false"/>
          <w:bCs w:val="false"/>
          <w:color w:val="000000"/>
          <w:sz w:val="24"/>
          <w:szCs w:val="24"/>
          <w:rFonts w:ascii="Times New Roman" w:eastAsia="SimSun"/>
        </w:rPr>
        <w:t xml:space="preserve">每页材料有明确处理状态，失败页不可隐去；文本层与搜索上线时版本关联、页码定位、授权检查与失败状态同步具备；</w:t>
      </w:r>
    </w:p>
    <w:p>
      <w:pPr>
        <w:pStyle w:val="ListParagraph"/>
        <w:numPr>
          <w:ilvl w:val="0"/>
          <w:numId w:val="4"/>
        </w:numPr>
        <w:spacing w:line="312" w:after="40"/>
        <w:jc w:val="both"/>
      </w:pPr>
      <w:r>
        <w:rPr>
          <w:b w:val="false"/>
          <w:bCs w:val="false"/>
          <w:color w:val="000000"/>
          <w:sz w:val="24"/>
          <w:szCs w:val="24"/>
          <w:rFonts w:ascii="Times New Roman" w:eastAsia="SimSun"/>
        </w:rPr>
        <w:t xml:space="preserve">改期取消旧提醒、外部发送失败可单独补发、重复事件不重复生效、任务宕机可接续；</w:t>
      </w:r>
    </w:p>
    <w:p>
      <w:pPr>
        <w:pStyle w:val="ListParagraph"/>
        <w:numPr>
          <w:ilvl w:val="0"/>
          <w:numId w:val="4"/>
        </w:numPr>
        <w:spacing w:line="312" w:after="40"/>
        <w:jc w:val="both"/>
      </w:pPr>
      <w:r>
        <w:rPr>
          <w:b w:val="false"/>
          <w:bCs w:val="false"/>
          <w:color w:val="000000"/>
          <w:sz w:val="24"/>
          <w:szCs w:val="24"/>
          <w:rFonts w:ascii="Times New Roman" w:eastAsia="SimSun"/>
        </w:rPr>
        <w:t xml:space="preserve">已确认款项无法物理删除或静默替换，更正走带原因的关联冲正记录；</w:t>
      </w:r>
    </w:p>
    <w:p>
      <w:pPr>
        <w:pStyle w:val="ListParagraph"/>
        <w:numPr>
          <w:ilvl w:val="0"/>
          <w:numId w:val="4"/>
        </w:numPr>
        <w:spacing w:line="312" w:after="40"/>
        <w:jc w:val="both"/>
      </w:pPr>
      <w:r>
        <w:rPr>
          <w:b w:val="false"/>
          <w:bCs w:val="false"/>
          <w:color w:val="000000"/>
          <w:sz w:val="24"/>
          <w:szCs w:val="24"/>
          <w:rFonts w:ascii="Times New Roman" w:eastAsia="SimSun"/>
        </w:rPr>
        <w:t xml:space="preserve">授权撤销后派生索引不可继续命中；</w:t>
      </w:r>
    </w:p>
    <w:p>
      <w:pPr>
        <w:pStyle w:val="ListParagraph"/>
        <w:numPr>
          <w:ilvl w:val="0"/>
          <w:numId w:val="4"/>
        </w:numPr>
        <w:spacing w:line="312" w:after="40"/>
        <w:jc w:val="both"/>
      </w:pPr>
      <w:r>
        <w:rPr>
          <w:b w:val="false"/>
          <w:bCs w:val="false"/>
          <w:color w:val="000000"/>
          <w:sz w:val="24"/>
          <w:szCs w:val="24"/>
          <w:rFonts w:ascii="Times New Roman" w:eastAsia="SimSun"/>
        </w:rPr>
        <w:t xml:space="preserve">完整导出同时被人与机器理解，隔离恢复后可重建指定交付包。</w:t>
      </w:r>
    </w:p>
    <w:p>
      <w:pPr>
        <w:pStyle w:val="Heading2"/>
        <w:keepNext/>
        <w:spacing w:before="280" w:after="120" w:line="350" w:lineRule="atLeast"/>
      </w:pPr>
      <w:bookmarkStart w:id="100036" w:name="_Toc100036"/>
      <w:r>
        <w:rPr>
          <w:b/>
          <w:bCs/>
          <w:color w:val="2A4A3A"/>
          <w:sz w:val="28"/>
          <w:szCs w:val="28"/>
          <w:rFonts w:ascii="Times New Roman" w:eastAsia="SimHei"/>
        </w:rPr>
        <w:t xml:space="preserve">10.2 风险与敏感性</w:t>
      </w:r>
      <w:bookmarkEnd w:id="100036"/>
    </w:p>
    <w:p>
      <w:pPr>
        <w:spacing w:line="312" w:after="60"/>
        <w:ind w:firstLine="480"/>
        <w:jc w:val="both"/>
      </w:pPr>
      <w:r>
        <w:rPr>
          <w:b w:val="false"/>
          <w:bCs w:val="false"/>
          <w:color w:val="000000"/>
          <w:sz w:val="24"/>
          <w:szCs w:val="24"/>
          <w:rFonts w:ascii="Times New Roman" w:eastAsia="SimSun"/>
        </w:rPr>
        <w:t xml:space="preserve">风险有三。其一，定位漂移风险：P1、P2 若按大所叙事扩张，将背离产品定位并拖垮小团队维护能力，故第九章清单与路线图同等重要。其二，工程量风险：五对象模型与材料出处链属季度级以上工程，工期须在完成范围拆解、人员投入确认与样例验证后估算；本报告所附量级仅为排序参考，不作为排期承诺。其三，制度未决风险：第八章三项决策未裁定前，对应建议不得实施，避免代码与制度再次脱节。</w:t>
      </w:r>
    </w:p>
    <w:p>
      <w:pPr>
        <w:spacing w:line="312" w:after="60"/>
        <w:ind w:firstLine="480"/>
        <w:jc w:val="both"/>
      </w:pPr>
      <w:r>
        <w:rPr>
          <w:b w:val="false"/>
          <w:bCs w:val="false"/>
          <w:color w:val="000000"/>
          <w:sz w:val="24"/>
          <w:szCs w:val="24"/>
          <w:rFonts w:ascii="Times New Roman" w:eastAsia="SimSun"/>
        </w:rPr>
        <w:t xml:space="preserve">结论的触发条件：若产品转向跨所平台运营，多租户、运营与计费体系须重新论证；若长期离线成为首要条件，桌面本地优先路线将取代当前推荐；若真实需求退回简单台账与标准收费，应坦率评估采购成熟产品。上述条件是判断变化的依据，不是现在就建设的功能清单。</w:t>
      </w:r>
    </w:p>
    <w:p>
      <w:pPr>
        <w:pStyle w:val="Heading1"/>
        <w:keepNext/>
        <w:spacing w:before="400" w:after="180" w:line="380" w:lineRule="atLeast"/>
      </w:pPr>
      <w:bookmarkStart w:id="100037" w:name="_Toc100037"/>
      <w:r>
        <w:rPr>
          <w:b/>
          <w:bCs/>
          <w:color w:val="2A4A3A"/>
          <w:sz w:val="32"/>
          <w:szCs w:val="32"/>
          <w:rFonts w:ascii="Times New Roman" w:eastAsia="SimHei"/>
        </w:rPr>
        <w:t xml:space="preserve">附录 A  参考文章清单</w:t>
      </w:r>
      <w:bookmarkEnd w:id="100037"/>
    </w:p>
    <w:p>
      <w:pPr>
        <w:spacing w:line="312" w:after="60"/>
        <w:ind w:firstLine="480"/>
        <w:jc w:val="both"/>
      </w:pPr>
      <w:r>
        <w:rPr>
          <w:b w:val="false"/>
          <w:bCs w:val="false"/>
          <w:color w:val="000000"/>
          <w:sz w:val="24"/>
          <w:szCs w:val="24"/>
          <w:rFonts w:ascii="Times New Roman" w:eastAsia="SimSun"/>
        </w:rPr>
        <w:t xml:space="preserve">以下 14 篇文章均出自公众号“盲盒系统开发源码分享”，发布于 2026 年 9 月 11 日至 13 日，原文以 PDF 形式存于项目参考目录。</w:t>
      </w:r>
    </w:p>
    <w:p>
      <w:pPr>
        <w:keepNext/>
        <w:spacing w:before="240" w:after="80" w:line="312"/>
        <w:jc w:val="center"/>
      </w:pPr>
      <w:r>
        <w:rPr>
          <w:b/>
          <w:bCs/>
          <w:color w:val="2A4A3A"/>
          <w:sz w:val="21"/>
          <w:szCs w:val="21"/>
          <w:rFonts w:ascii="Times New Roman" w:eastAsia="SimHei"/>
        </w:rPr>
        <w:t xml:space="preserve">表 A-1  文章清单与核心贡献</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tblGrid>
      <w:tr>
        <w:trPr>
          <w:cantSplit/>
          <w:tblHeader/>
        </w:trPr>
        <w:tc>
          <w:tcPr>
            <w:tcW w:type="pct" w:w="8%"/>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序号</w:t>
            </w:r>
          </w:p>
        </w:tc>
        <w:tc>
          <w:tcPr>
            <w:tcW w:type="pct" w:w="4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篇目</w:t>
            </w:r>
          </w:p>
        </w:tc>
        <w:tc>
          <w:tcPr>
            <w:tcW w:type="pct" w:w="48%"/>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核心贡献</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01</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核心定位与技术边界解析</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品类判定三问；以案件为主数据的六大模块与建模要诀</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02</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与传统手工管理的数据模型差异</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结构化字段与关系重组；检索、统计、权限、审计的能力上限在建模时确定</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03</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通用型与领域深耕型怎么选</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规模三档分法；六维评估框架与三个反模式</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04</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三种部署模式的技术差异</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数据主权与运维责任两主线；迁移数据清洗顺序；总拥有成本构成</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05</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案件全生命周期管理模块</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六阶段主链路；状态字典与状态机；归档完整性检查</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06</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客户与联系人管理模块</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主体、联系人、参与角色三层区分；角色关联表快照与外键并存</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07</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文档与知识库模块</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目录树、不可变版本链、内容指纹；识别流水线与全文倒排索引</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08</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计费与财务管理模块</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工时双口径；账单快照与作废事务；资金对账纪律</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09</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日程日历与自动提醒模块</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事件五分类；期限规则引擎；五级阶梯提醒与调度可靠性</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10</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技术架构设计解析</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三层架构与案件中心五子域；务实选型结论：先做模块化单体</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11</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数据库三十张核心表设计</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主体与案件双枢纽；金额精度、软删除唯一键、监管链三条红线</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12</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权限体系：RBAC 与数据范围</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功能权限与数据范围正交；行级过滤下沉查询层；越权自测准则</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13</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数据安全与保密机制</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分层安全模型；盲索引；密钥管理与审计五条硬约束</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14</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与办公及财务软件集成</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同步故障五形态与五步排查；幂等键、死信与全量对账工程</w:t>
            </w:r>
          </w:p>
        </w:tc>
      </w:tr>
    </w:tbl>
    <w:p>
      <w:pPr>
        <w:pStyle w:val="Heading1"/>
        <w:keepNext/>
        <w:spacing w:before="400" w:after="180" w:line="380" w:lineRule="atLeast"/>
      </w:pPr>
      <w:bookmarkStart w:id="100038" w:name="_Toc100038"/>
      <w:r>
        <w:rPr>
          <w:b/>
          <w:bCs/>
          <w:color w:val="2A4A3A"/>
          <w:sz w:val="32"/>
          <w:szCs w:val="32"/>
          <w:rFonts w:ascii="Times New Roman" w:eastAsia="SimHei"/>
        </w:rPr>
        <w:t xml:space="preserve">附录 B  代码证据核查记录</w:t>
      </w:r>
      <w:bookmarkEnd w:id="100038"/>
    </w:p>
    <w:p>
      <w:pPr>
        <w:spacing w:line="312" w:after="60"/>
        <w:ind w:firstLine="480"/>
        <w:jc w:val="both"/>
      </w:pPr>
      <w:r>
        <w:rPr>
          <w:b w:val="false"/>
          <w:bCs w:val="false"/>
          <w:color w:val="000000"/>
          <w:sz w:val="24"/>
          <w:szCs w:val="24"/>
          <w:rFonts w:ascii="Times New Roman" w:eastAsia="SimSun"/>
        </w:rPr>
        <w:t xml:space="preserve">下表为重评报告引用的七处代码证据（C01 至 C07）的静态核查结果。核查时间为 2026 年 9 月 13 日，行号以当日代码为准，后续可能随修改漂移，应以函数与模型名定位。核查结论为“与描述相符”：字段与代码路径的存在不等于功能完整实现，能力完整性仍需按第十章验收。</w:t>
      </w:r>
    </w:p>
    <w:p>
      <w:pPr>
        <w:keepNext/>
        <w:spacing w:before="240" w:after="80" w:line="312"/>
        <w:jc w:val="center"/>
      </w:pPr>
      <w:r>
        <w:rPr>
          <w:b/>
          <w:bCs/>
          <w:color w:val="2A4A3A"/>
          <w:sz w:val="21"/>
          <w:szCs w:val="21"/>
          <w:rFonts w:ascii="Times New Roman" w:eastAsia="SimHei"/>
        </w:rPr>
        <w:t xml:space="preserve">表 B-1  代码证据核查结果</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gridCol w:w="100"/>
      </w:tblGrid>
      <w:tr>
        <w:trPr>
          <w:cantSplit/>
          <w:tblHeader/>
        </w:trPr>
        <w:tc>
          <w:tcPr>
            <w:tcW w:type="pct" w:w="8%"/>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编号</w:t>
            </w:r>
          </w:p>
        </w:tc>
        <w:tc>
          <w:tcPr>
            <w:tcW w:type="pct" w:w="40%"/>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声明</w:t>
            </w:r>
          </w:p>
        </w:tc>
        <w:tc>
          <w:tcPr>
            <w:tcW w:type="pct" w:w="32%"/>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核查位置</w:t>
            </w:r>
          </w:p>
        </w:tc>
        <w:tc>
          <w:tcPr>
            <w:tcW w:type="pct" w:w="20%"/>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结果</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C01</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案件实体混同委托、程序语义；关联案件仅有裸双端标识，委托状态仅两个取值</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prisma/schema.prisma 中 Matter、MatterProcedure、MatterLink 与 ProcedureEngagement 定义</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相符</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C02</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案件可见性按团队成员的主办或原始立案关系推导</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src/lib/permissions/index.ts 第 63、77 行的团队过滤函数</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相符</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C03</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新增用户强制上传证件照片</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src/server/users/actions.ts 第 135 至 136 行</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相符</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C04</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进程内调度，重启可能错过触发时点</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src/server/cron/scheduler.ts 第 10 行注释自认</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相符</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C05</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收付记录存在创建与物理删除入口，未发现直接修改金额的业务入口，记录集合可经删除及重新登记改变</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src/server/finance/actions.ts 的 createBilling、deleteBilling、createFeeEntry、deleteFeeEntry</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相符</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C06</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人工智能文书审查输入截断为六千字符</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src/server/ai/review-document.ts 第 35、95 行</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相符</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C07</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文书审查仅当文档归属案件时执行案件级访问断言，收案材料分支跳过</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src/server/ai/review-document.ts 第 75 至 76 行</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相符，需专项核验</w:t>
            </w:r>
          </w:p>
        </w:tc>
      </w:tr>
    </w:tbl>
    <w:p>
      <w:pPr>
        <w:spacing w:line="312" w:after="60"/>
        <w:ind w:firstLine="480"/>
        <w:jc w:val="both"/>
      </w:pPr>
      <w:r>
        <w:rPr>
          <w:b w:val="false"/>
          <w:bCs w:val="false"/>
          <w:color w:val="000000"/>
          <w:sz w:val="24"/>
          <w:szCs w:val="24"/>
          <w:rFonts w:ascii="Times New Roman" w:eastAsia="SimSun"/>
        </w:rPr>
        <w:t xml:space="preserve">核查说明：C05 的表述已按更正意见收窄——代码中存在的是删除及重登路径，未发现直接修改金额的入口，不应将可能的操作方式写成唯一正式更正流程。C07 的结论为结构性事实，仅说明该入口的对象级断言存在条件分支，不据此认定已发生越权泄露；是否构成实际风险，取决于收案材料分支的既有防护，应按 P0 第 4 项完成专项核验后归档结论。</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Fonts w:ascii="Times New Roman" w:eastAsia="SimSun"/>
      </w:rPr>
      <w:fldChar w:fldCharType="begin"/>
      <w:instrText xml:space="preserve">PAGE \* ROMAN \* MERGEFORMAT</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Fonts w:ascii="Times New Roman" w:eastAsia="SimSun"/>
      </w:rPr>
      <w:fldChar w:fldCharType="begin"/>
      <w:instrText xml:space="preserve">PAGE \* arabic \* MERGEFORMAT</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D0" w:sz="2" w:space="4"/>
      </w:pBdr>
      <w:spacing w:after="0"/>
      <w:jc w:val="center"/>
    </w:pPr>
    <w:r>
      <w:rPr>
        <w:color w:val="808080"/>
        <w:sz w:val="18"/>
        <w:szCs w:val="18"/>
        <w:rFonts w:ascii="Times New Roman" w:eastAsia="SimSun"/>
      </w:rPr>
      <w:t xml:space="preserve">LawLink 改进分析报告（综合版·第二版）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D0" w:sz="2" w:space="4"/>
      </w:pBdr>
      <w:spacing w:after="0"/>
      <w:jc w:val="center"/>
    </w:pPr>
    <w:r>
      <w:rPr>
        <w:color w:val="808080"/>
        <w:sz w:val="18"/>
        <w:szCs w:val="18"/>
        <w:rFonts w:ascii="Times New Roman" w:eastAsia="SimSun"/>
      </w:rPr>
      <w:t xml:space="preserve">LawLink 改进分析报告（综合版·第二版）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4"/>
        <w:szCs w:val="24"/>
        <w:rFonts w:ascii="Times New Roman" w:eastAsia="SimSun"/>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00" w:after="180" w:line="380"/>
      <w:outlineLvl w:val="0"/>
    </w:pPr>
    <w:rPr>
      <w:b/>
      <w:bCs/>
      <w:color w:val="2A4A3A"/>
      <w:sz w:val="32"/>
      <w:szCs w:val="32"/>
      <w:rFonts w:ascii="Times New Roman" w:eastAsia="SimHei"/>
    </w:rPr>
  </w:style>
  <w:style w:type="paragraph" w:styleId="Heading2">
    <w:name w:val="Heading 2"/>
    <w:basedOn w:val="Normal"/>
    <w:next w:val="Normal"/>
    <w:qFormat/>
    <w:pPr>
      <w:spacing w:before="280" w:after="120" w:line="350"/>
      <w:outlineLvl w:val="1"/>
    </w:pPr>
    <w:rPr>
      <w:b/>
      <w:bCs/>
      <w:color w:val="2A4A3A"/>
      <w:sz w:val="28"/>
      <w:szCs w:val="28"/>
      <w:rFonts w:ascii="Times New Roman" w:eastAsia="SimHei"/>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LawLink 改进分析报告（综合版·第二版）</dc:title>
  <dc:creator>LawLink</dc:creator>
  <cp:lastModifiedBy>Un-named</cp:lastModifiedBy>
  <cp:revision>1</cp:revision>
  <dcterms:created xsi:type="dcterms:W3CDTF">2026-09-13T11:11:25.343Z</dcterms:created>
  <dcterms:modified xsi:type="dcterms:W3CDTF">2026-09-13T11:11:25.345Z</dcterms:modified>
</cp:coreProperties>
</file>

<file path=docProps/custom.xml><?xml version="1.0" encoding="utf-8"?>
<Properties xmlns="http://schemas.openxmlformats.org/officeDocument/2006/custom-properties" xmlns:vt="http://schemas.openxmlformats.org/officeDocument/2006/docPropsVTypes"/>
</file>