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ptos" w:hAnsi="Aptos" w:eastAsia="Microsoft YaHei"/>
          <w:b/>
          <w:color w:val="0F1B2D"/>
          <w:sz w:val="48"/>
        </w:rPr>
        <w:t>LawLink 品牌资产简表</w:t>
      </w:r>
    </w:p>
    <w:p>
      <w:pPr>
        <w:spacing w:after="240"/>
      </w:pPr>
      <w:r>
        <w:rPr>
          <w:rFonts w:ascii="Aptos" w:hAnsi="Aptos" w:eastAsia="Microsoft YaHei"/>
          <w:b w:val="0"/>
          <w:color w:val="667085"/>
          <w:sz w:val="21"/>
        </w:rPr>
        <w:t>基于现有默认标识整理 · 2026-06-20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0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link-brand-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40" w:after="100"/>
      </w:pPr>
      <w:r>
        <w:rPr>
          <w:rFonts w:ascii="Aptos" w:hAnsi="Aptos" w:eastAsia="Microsoft YaHei"/>
          <w:b/>
          <w:color w:val="101828"/>
          <w:sz w:val="36"/>
        </w:rPr>
        <w:t>品牌结论</w:t>
      </w:r>
    </w:p>
    <w:p>
      <w:pPr>
        <w:spacing w:after="120"/>
      </w:pPr>
      <w:r>
        <w:rPr>
          <w:rFonts w:ascii="Aptos" w:hAnsi="Aptos" w:eastAsia="Microsoft YaHei"/>
          <w:b w:val="0"/>
          <w:color w:val="101828"/>
          <w:sz w:val="21"/>
        </w:rPr>
        <w:t>保留默认标识作为 LawLink 第一版正式品牌母版，并围绕它整理出统一的图标、字标、单色版、反白版与使用规范。这个方向比重新拼接复杂符号更稳：它有清晰的中轴、强识别度和产品工具属性，适合开源、自部署、面向律师工作的系统。</w:t>
      </w:r>
    </w:p>
    <w:p>
      <w:pPr>
        <w:pStyle w:val="Heading1"/>
        <w:spacing w:before="40" w:after="100"/>
      </w:pPr>
      <w:r>
        <w:rPr>
          <w:rFonts w:ascii="Aptos" w:hAnsi="Aptos" w:eastAsia="Microsoft YaHei"/>
          <w:b/>
          <w:color w:val="101828"/>
          <w:sz w:val="36"/>
        </w:rPr>
        <w:t>设计理念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双竖白柱代表法律服务中的秩序、边界与支撑结构，也可以被理解为案件流程中的两条主线：客户事实与法律规则。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青绿色横梁代表连接、协同与进度推进，是 LawLink 中 “Link” 的视觉核心。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深海军蓝圆角底承载“可靠、克制、专业”的产品气质；圆角降低传统法律行业常见的压迫感，更像现代软件图标。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整体采用几何直线和居中构图，避免具象天平、法槌等泛化法律符号，保持技术产品和法律业务之间的平衡。</w:t>
      </w:r>
    </w:p>
    <w:p>
      <w:r>
        <w:br w:type="page"/>
      </w:r>
    </w:p>
    <w:p>
      <w:pPr>
        <w:pStyle w:val="Heading1"/>
        <w:spacing w:before="40" w:after="100"/>
      </w:pPr>
      <w:r>
        <w:rPr>
          <w:rFonts w:ascii="Aptos" w:hAnsi="Aptos" w:eastAsia="Microsoft YaHei"/>
          <w:b/>
          <w:color w:val="101828"/>
          <w:sz w:val="36"/>
        </w:rPr>
        <w:t>核心色彩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936"/>
            <w:shd w:fill="EEF4F4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01828"/>
                <w:sz w:val="19"/>
              </w:rPr>
              <w:t>色块</w:t>
            </w:r>
          </w:p>
        </w:tc>
        <w:tc>
          <w:tcPr>
            <w:tcW w:type="dxa" w:w="1800"/>
            <w:shd w:fill="EEF4F4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01828"/>
                <w:sz w:val="19"/>
              </w:rPr>
              <w:t>名称</w:t>
            </w:r>
          </w:p>
        </w:tc>
        <w:tc>
          <w:tcPr>
            <w:tcW w:type="dxa" w:w="1656"/>
            <w:shd w:fill="EEF4F4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01828"/>
                <w:sz w:val="19"/>
              </w:rPr>
              <w:t>色值</w:t>
            </w:r>
          </w:p>
        </w:tc>
        <w:tc>
          <w:tcPr>
            <w:tcW w:type="dxa" w:w="4752"/>
            <w:shd w:fill="EEF4F4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01828"/>
                <w:sz w:val="19"/>
              </w:rPr>
              <w:t>用途</w:t>
            </w:r>
          </w:p>
        </w:tc>
      </w:tr>
      <w:tr>
        <w:tc>
          <w:tcPr>
            <w:tcW w:type="dxa" w:w="93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  <w:shd w:fill="0F1B2D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</w:r>
          </w:p>
        </w:tc>
        <w:tc>
          <w:tcPr>
            <w:tcW w:type="dxa" w:w="180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Deep Navy</w:t>
            </w:r>
          </w:p>
        </w:tc>
        <w:tc>
          <w:tcPr>
            <w:tcW w:type="dxa" w:w="165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#0F1B2D</w:t>
            </w:r>
          </w:p>
        </w:tc>
        <w:tc>
          <w:tcPr>
            <w:tcW w:type="dxa" w:w="4752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主背景、应用图标底色、深色界面品牌锚点</w:t>
            </w:r>
          </w:p>
        </w:tc>
      </w:tr>
      <w:tr>
        <w:tc>
          <w:tcPr>
            <w:tcW w:type="dxa" w:w="93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  <w:shd w:fill="00A6A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</w:r>
          </w:p>
        </w:tc>
        <w:tc>
          <w:tcPr>
            <w:tcW w:type="dxa" w:w="180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Link Teal</w:t>
            </w:r>
          </w:p>
        </w:tc>
        <w:tc>
          <w:tcPr>
            <w:tcW w:type="dxa" w:w="165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#00A6A6</w:t>
            </w:r>
          </w:p>
        </w:tc>
        <w:tc>
          <w:tcPr>
            <w:tcW w:type="dxa" w:w="4752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连接横梁、关键状态、强调色</w:t>
            </w:r>
          </w:p>
        </w:tc>
      </w:tr>
      <w:tr>
        <w:tc>
          <w:tcPr>
            <w:tcW w:type="dxa" w:w="93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</w:r>
          </w:p>
        </w:tc>
        <w:tc>
          <w:tcPr>
            <w:tcW w:type="dxa" w:w="180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White</w:t>
            </w:r>
          </w:p>
        </w:tc>
        <w:tc>
          <w:tcPr>
            <w:tcW w:type="dxa" w:w="165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#FFFFFF</w:t>
            </w:r>
          </w:p>
        </w:tc>
        <w:tc>
          <w:tcPr>
            <w:tcW w:type="dxa" w:w="4752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结构柱、反差主体</w:t>
            </w:r>
          </w:p>
        </w:tc>
      </w:tr>
      <w:tr>
        <w:tc>
          <w:tcPr>
            <w:tcW w:type="dxa" w:w="93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  <w:shd w:fill="101828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</w:r>
          </w:p>
        </w:tc>
        <w:tc>
          <w:tcPr>
            <w:tcW w:type="dxa" w:w="180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Ink</w:t>
            </w:r>
          </w:p>
        </w:tc>
        <w:tc>
          <w:tcPr>
            <w:tcW w:type="dxa" w:w="165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#101828</w:t>
            </w:r>
          </w:p>
        </w:tc>
        <w:tc>
          <w:tcPr>
            <w:tcW w:type="dxa" w:w="4752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正式文档标题与正文</w:t>
            </w:r>
          </w:p>
        </w:tc>
      </w:tr>
      <w:tr>
        <w:tc>
          <w:tcPr>
            <w:tcW w:type="dxa" w:w="93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  <w:shd w:fill="667085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</w:r>
          </w:p>
        </w:tc>
        <w:tc>
          <w:tcPr>
            <w:tcW w:type="dxa" w:w="180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Muted Gray</w:t>
            </w:r>
          </w:p>
        </w:tc>
        <w:tc>
          <w:tcPr>
            <w:tcW w:type="dxa" w:w="165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#667085</w:t>
            </w:r>
          </w:p>
        </w:tc>
        <w:tc>
          <w:tcPr>
            <w:tcW w:type="dxa" w:w="4752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说明性文字、辅助信息</w:t>
            </w:r>
          </w:p>
        </w:tc>
      </w:tr>
    </w:tbl>
    <w:p>
      <w:pPr>
        <w:pStyle w:val="Heading1"/>
        <w:spacing w:before="40" w:after="100"/>
      </w:pPr>
      <w:r>
        <w:rPr>
          <w:rFonts w:ascii="Aptos" w:hAnsi="Aptos" w:eastAsia="Microsoft YaHei"/>
          <w:b/>
          <w:color w:val="101828"/>
          <w:sz w:val="36"/>
        </w:rPr>
        <w:t>资产清单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96"/>
            <w:shd w:fill="EEF4F4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01828"/>
                <w:sz w:val="19"/>
              </w:rPr>
              <w:t>文件</w:t>
            </w:r>
          </w:p>
        </w:tc>
        <w:tc>
          <w:tcPr>
            <w:tcW w:type="dxa" w:w="6120"/>
            <w:shd w:fill="EEF4F4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01828"/>
                <w:sz w:val="19"/>
              </w:rPr>
              <w:t>使用场景</w:t>
            </w:r>
          </w:p>
        </w:tc>
      </w:tr>
      <w:tr>
        <w:tc>
          <w:tcPr>
            <w:tcW w:type="dxa" w:w="309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lawlink-mark.svg / .png</w:t>
            </w:r>
          </w:p>
        </w:tc>
        <w:tc>
          <w:tcPr>
            <w:tcW w:type="dxa" w:w="612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完整应用图标，适合 favicon、App icon、头像、方形物料</w:t>
            </w:r>
          </w:p>
        </w:tc>
      </w:tr>
      <w:tr>
        <w:tc>
          <w:tcPr>
            <w:tcW w:type="dxa" w:w="309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lawlink-symbol.svg / .png</w:t>
            </w:r>
          </w:p>
        </w:tc>
        <w:tc>
          <w:tcPr>
            <w:tcW w:type="dxa" w:w="612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去底符号，适合深色背景、徽章、水印或小面积点缀</w:t>
            </w:r>
          </w:p>
        </w:tc>
      </w:tr>
      <w:tr>
        <w:tc>
          <w:tcPr>
            <w:tcW w:type="dxa" w:w="309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lawlink-mark-mono.svg / .png</w:t>
            </w:r>
          </w:p>
        </w:tc>
        <w:tc>
          <w:tcPr>
            <w:tcW w:type="dxa" w:w="612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单色版，适合压印、灰阶打印、极小尺寸场景</w:t>
            </w:r>
          </w:p>
        </w:tc>
      </w:tr>
      <w:tr>
        <w:tc>
          <w:tcPr>
            <w:tcW w:type="dxa" w:w="309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lawlink-wordmark.svg / .png</w:t>
            </w:r>
          </w:p>
        </w:tc>
        <w:tc>
          <w:tcPr>
            <w:tcW w:type="dxa" w:w="612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横向字标，适合文档封面、官网页眉、PPT 页脚</w:t>
            </w:r>
          </w:p>
        </w:tc>
      </w:tr>
      <w:tr>
        <w:tc>
          <w:tcPr>
            <w:tcW w:type="dxa" w:w="309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lawlink-wordmark-inverse.svg / .png</w:t>
            </w:r>
          </w:p>
        </w:tc>
        <w:tc>
          <w:tcPr>
            <w:tcW w:type="dxa" w:w="612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反白横向字标，适合深色背景</w:t>
            </w:r>
          </w:p>
        </w:tc>
      </w:tr>
      <w:tr>
        <w:tc>
          <w:tcPr>
            <w:tcW w:type="dxa" w:w="3096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lawlink-brand-sheet.svg / .png</w:t>
            </w:r>
          </w:p>
        </w:tc>
        <w:tc>
          <w:tcPr>
            <w:tcW w:type="dxa" w:w="6120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01828"/>
                <w:sz w:val="19"/>
              </w:rPr>
              <w:t>品牌预览板，用于对外介绍和内部选型确认</w:t>
            </w:r>
          </w:p>
        </w:tc>
      </w:tr>
    </w:tbl>
    <w:p>
      <w:pPr>
        <w:pStyle w:val="Heading1"/>
        <w:spacing w:before="40" w:after="100"/>
      </w:pPr>
      <w:r>
        <w:rPr>
          <w:rFonts w:ascii="Aptos" w:hAnsi="Aptos" w:eastAsia="Microsoft YaHei"/>
          <w:b/>
          <w:color w:val="101828"/>
          <w:sz w:val="36"/>
        </w:rPr>
        <w:t>使用规则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最小留白：图标四周至少保留 12.5% 图标宽度的安全边距；横向字标四周至少保留一个 “L” 高度的空间。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不要拉伸、倾斜、加阴影、加描边，也不要把青绿色换成随机蓝绿渐变。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小尺寸优先使用完整图标；复杂背景上优先使用反白字标或单色版。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101828"/>
          <w:sz w:val="20"/>
        </w:rPr>
        <w:t>在产品界面内，品牌标识应克制出现，不抢业务信息层级。</w:t>
      </w:r>
    </w:p>
    <w:p>
      <w:pPr>
        <w:pStyle w:val="Heading1"/>
        <w:spacing w:before="40" w:after="100"/>
      </w:pPr>
      <w:r>
        <w:rPr>
          <w:rFonts w:ascii="Aptos" w:hAnsi="Aptos" w:eastAsia="Microsoft YaHei"/>
          <w:b/>
          <w:color w:val="101828"/>
          <w:sz w:val="36"/>
        </w:rPr>
        <w:t>后续建议</w:t>
      </w:r>
    </w:p>
    <w:p>
      <w:pPr>
        <w:spacing w:after="120"/>
      </w:pPr>
      <w:r>
        <w:rPr>
          <w:rFonts w:ascii="Aptos" w:hAnsi="Aptos" w:eastAsia="Microsoft YaHei"/>
          <w:b w:val="0"/>
          <w:color w:val="101828"/>
          <w:sz w:val="21"/>
        </w:rPr>
        <w:t>当前整理先不替换现有代码引用，避免影响应用运行。确认这套作为正式品牌后，可以再把 favicon、登录页、README 和文档封面统一切到 public/brand/ 下的正式资产。</w:t>
      </w:r>
    </w:p>
    <w:sectPr w:rsidR="00FC693F" w:rsidRPr="0006063C" w:rsidSect="00034616"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color w:val="667085"/>
        <w:sz w:val="17"/>
      </w:rPr>
      <w:t>LawLink Brand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