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92"/>
            </w:pPr>
          </w:p>
          <w:p>
            <w:pPr>
              <w:pBdr>
                <w:bottom w:val="single" w:color="C89F62" w:sz="6" w:space="8"/>
              </w:pBdr>
              <w:spacing w:after="500"/>
              <w:ind w:left="1200" w:right="800"/>
            </w:pPr>
            <w:r>
              <w:rPr>
                <w:color w:val="C89F62"/>
                <w:sz w:val="18"/>
                <w:szCs w:val="18"/>
                <w:rFonts w:ascii="Calibri" w:eastAsia="SimHei"/>
                <w:spacing w:val="40"/>
              </w:rPr>
              <w:t xml:space="preserve">I  M  P  R  O  V  E  M  E  N  T     A  N  A  L  Y  S  I  S</w:t>
            </w:r>
          </w:p>
          <w:p>
            <w:pPr>
              <w:spacing w:after="100" w:line="920" w:lineRule="atLeast"/>
              <w:ind w:left="1200"/>
            </w:pPr>
            <w:r>
              <w:rPr>
                <w:b/>
                <w:bCs/>
                <w:color w:val="2A4A3A"/>
                <w:sz w:val="80"/>
                <w:szCs w:val="80"/>
                <w:rFonts w:eastAsia="SimHei" w:ascii="Arial"/>
              </w:rPr>
              <w:t xml:space="preserve">LawLink</w:t>
            </w:r>
          </w:p>
          <w:p>
            <w:pPr>
              <w:spacing w:after="300" w:line="920" w:lineRule="atLeast"/>
              <w:ind w:left="1200"/>
            </w:pPr>
            <w:r>
              <w:rPr>
                <w:b/>
                <w:bCs/>
                <w:color w:val="2A4A3A"/>
                <w:sz w:val="80"/>
                <w:szCs w:val="80"/>
                <w:rFonts w:eastAsia="SimHei" w:ascii="Arial"/>
              </w:rPr>
              <w:t xml:space="preserve">改进分析报告</w:t>
            </w:r>
          </w:p>
          <w:p>
            <w:pPr>
              <w:spacing w:after="800"/>
              <w:ind w:left="1200"/>
            </w:pPr>
            <w:r>
              <w:rPr>
                <w:color w:val="606060"/>
                <w:sz w:val="24"/>
                <w:szCs w:val="24"/>
                <w:rFonts w:eastAsia="Microsoft YaHei" w:ascii="Arial"/>
              </w:rPr>
              <w:t xml:space="preserve">行业文章对标 · 现状盘点 · 领域模型重评（综合版）</w:t>
            </w:r>
          </w:p>
          <w:p>
            <w:pPr>
              <w:pBdr>
                <w:left w:val="single" w:color="C89F62" w:sz="8" w:space="12"/>
              </w:pBdr>
              <w:spacing w:after="80"/>
              <w:ind w:left="1400"/>
            </w:pPr>
            <w:r>
              <w:rPr>
                <w:color w:val="707070"/>
                <w:sz w:val="24"/>
                <w:szCs w:val="24"/>
                <w:rFonts w:eastAsia="Microsoft YaHei" w:ascii="Arial"/>
              </w:rPr>
              <w:t xml:space="preserve">分析对象：LawLink 开源律所案件管理系统</w:t>
            </w:r>
          </w:p>
          <w:p>
            <w:pPr>
              <w:pBdr>
                <w:left w:val="single" w:color="C89F62" w:sz="8" w:space="12"/>
              </w:pBdr>
              <w:spacing w:after="80"/>
              <w:ind w:left="1400"/>
            </w:pPr>
            <w:r>
              <w:rPr>
                <w:color w:val="707070"/>
                <w:sz w:val="24"/>
                <w:szCs w:val="24"/>
                <w:rFonts w:eastAsia="Microsoft YaHei" w:ascii="Arial"/>
              </w:rPr>
              <w:t xml:space="preserve">输入材料：行业文章 14 篇 / 项目现状盘点 / 独立重评报告</w:t>
            </w:r>
          </w:p>
          <w:p>
            <w:pPr>
              <w:pBdr>
                <w:left w:val="single" w:color="C89F62" w:sz="8" w:space="12"/>
              </w:pBdr>
              <w:spacing w:after="80"/>
              <w:ind w:left="1400"/>
            </w:pPr>
            <w:r>
              <w:rPr>
                <w:color w:val="707070"/>
                <w:sz w:val="24"/>
                <w:szCs w:val="24"/>
                <w:rFonts w:eastAsia="Microsoft YaHei" w:ascii="Arial"/>
              </w:rPr>
              <w:t xml:space="preserve">编制日期：2026 年 9 月 13 日</w:t>
            </w:r>
          </w:p>
          <w:p>
            <w:pPr>
              <w:pBdr>
                <w:left w:val="single" w:color="C89F62" w:sz="8" w:space="12"/>
              </w:pBdr>
              <w:spacing w:after="80"/>
              <w:ind w:left="1400"/>
            </w:pPr>
            <w:r>
              <w:rPr>
                <w:color w:val="707070"/>
                <w:sz w:val="24"/>
                <w:szCs w:val="24"/>
                <w:rFonts w:eastAsia="Microsoft YaHei" w:ascii="Arial"/>
              </w:rPr>
              <w:t xml:space="preserve">文档性质：内部改进建议（未修改任何代码与数据）</w:t>
            </w:r>
          </w:p>
          <w:p>
            <w:pPr>
              <w:spacing w:before="4092"/>
            </w:pPr>
          </w:p>
          <w:p>
            <w:pPr>
              <w:pBdr>
                <w:top w:val="single" w:color="C89F62" w:sz="2" w:space="8"/>
              </w:pBdr>
              <w:spacing w:before="200"/>
              <w:ind w:left="1200" w:right="800"/>
            </w:pPr>
            <w:r>
              <w:rPr>
                <w:color w:val="A0A0A0"/>
                <w:sz w:val="16"/>
                <w:szCs w:val="16"/>
                <w:rFonts w:ascii="Arial" w:eastAsia="Microsoft YaHei"/>
              </w:rPr>
              <w:t xml:space="preserve">LawLink</w:t>
            </w:r>
            <w:r>
              <w:t xml:space="preserve">                                        </w:t>
            </w:r>
            <w:r>
              <w:rPr>
                <w:color w:val="A0A0A0"/>
                <w:sz w:val="16"/>
                <w:szCs w:val="16"/>
                <w:rFonts w:ascii="Arial" w:eastAsia="Microsoft YaHei"/>
              </w:rPr>
              <w:t xml:space="preserve">2026-09-13</w:t>
            </w:r>
          </w:p>
        </w:tc>
      </w:tr>
    </w:tbl>
    <w:p>
      <w:pPr>
        <w:sectPr>
          <w:pgSz w:w="11906" w:h="16838" w:orient="portrait"/>
          <w:pgMar w:top="0" w:right="0" w:bottom="0" w:left="0" w:header="708" w:footer="708" w:gutter="0"/>
          <w:docGrid w:linePitch="360"/>
        </w:sectPr>
      </w:pPr>
    </w:p>
    <w:p>
      <w:pPr>
        <w:spacing w:before="240" w:after="240" w:line="380" w:lineRule="atLeast"/>
        <w:jc w:val="center"/>
      </w:pPr>
      <w:r>
        <w:rPr>
          <w:b/>
          <w:bCs/>
          <w:color w:val="2A4A3A"/>
          <w:sz w:val="32"/>
          <w:szCs w:val="32"/>
          <w:rFonts w:ascii="Times New Roman" w:eastAsia="SimHei"/>
        </w:rPr>
        <w:t xml:space="preserve">摘  要</w:t>
      </w:r>
    </w:p>
    <w:p>
      <w:pPr>
        <w:spacing w:line="312" w:after="60"/>
        <w:ind w:firstLine="480"/>
        <w:jc w:val="both"/>
      </w:pPr>
      <w:r>
        <w:rPr>
          <w:b w:val="false"/>
          <w:bCs w:val="false"/>
          <w:color w:val="000000"/>
          <w:sz w:val="24"/>
          <w:szCs w:val="24"/>
          <w:rFonts w:ascii="Times New Roman" w:eastAsia="SimSun"/>
        </w:rPr>
        <w:t xml:space="preserve">本报告对《律所案件管理系统》系列文章（共 14 篇）、LawLink 项目现状以及一份独立重评报告进行综合分析，形成面向决策的改进建议。三份输入均经过交叉核验：系列文章逐篇精读提炼；项目现状依据产品需求文档、数据模型文档与 prisma/schema.prisma 实际比对；重评报告引用的七处代码证据（编号 C01 至 C07）逐条复核，全部属实。</w:t>
      </w:r>
    </w:p>
    <w:p>
      <w:pPr>
        <w:spacing w:line="312" w:after="60"/>
        <w:ind w:firstLine="480"/>
        <w:jc w:val="both"/>
      </w:pPr>
      <w:r>
        <w:rPr>
          <w:b w:val="false"/>
          <w:bCs w:val="false"/>
          <w:color w:val="000000"/>
          <w:sz w:val="24"/>
          <w:szCs w:val="24"/>
          <w:rFonts w:ascii="Times New Roman" w:eastAsia="SimSun"/>
        </w:rPr>
        <w:t xml:space="preserve">核心结论有四。其一，</w:t>
      </w:r>
      <w:r>
        <w:rPr>
          <w:b/>
          <w:bCs/>
          <w:color w:val="000000"/>
          <w:sz w:val="24"/>
          <w:szCs w:val="24"/>
          <w:rFonts w:ascii="Times New Roman" w:eastAsia="SimSun"/>
        </w:rPr>
        <w:t xml:space="preserve">LawLink 的主线流程、审批治理与期限规则本土化程度领先于文章描述的行业通用模型，不应为对齐文章而削弱</w:t>
      </w:r>
      <w:r>
        <w:rPr>
          <w:b w:val="false"/>
          <w:bCs w:val="false"/>
          <w:color w:val="000000"/>
          <w:sz w:val="24"/>
          <w:szCs w:val="24"/>
          <w:rFonts w:ascii="Times New Roman" w:eastAsia="SimSun"/>
        </w:rPr>
        <w:t xml:space="preserve">。其二，真正的差距集中在六处工程纪律：文档全文检索、财务快照与核销纪律、期限提醒闭环、客户主数据查重、账号安全底线、外部调用可观测性。其三，重评报告指出的领域模型缺口（委托、事项、程序语义混同，材料缺乏页级出处）成立，应作为中长期演进方向，以增量迁移而非重写的方式落地。其四，重评报告中有三处建议与工作区现行制度冲突，须先修订制度文件再实施。</w:t>
      </w:r>
    </w:p>
    <w:p>
      <w:pPr>
        <w:spacing w:line="312" w:after="60"/>
        <w:ind w:firstLine="480"/>
        <w:jc w:val="both"/>
      </w:pPr>
      <w:r>
        <w:rPr>
          <w:b w:val="false"/>
          <w:bCs w:val="false"/>
          <w:color w:val="000000"/>
          <w:sz w:val="24"/>
          <w:szCs w:val="24"/>
          <w:rFonts w:ascii="Times New Roman" w:eastAsia="SimSun"/>
        </w:rPr>
        <w:t xml:space="preserve">改进建议按三层组织：P0 底线补强七项（一至两周量级）、P1 结构强化十项（一至两个月量级）、P2 目标形态演进五项（验收驱动），并附明确不宜照搬清单，避免滑向大型律所的重功能路线。本报告仅为分析与建议，未修改任何代码、数据库结构或制度文件。</w:t>
      </w:r>
      <w:r>
        <w:br w:type="page"/>
      </w:r>
    </w:p>
    <w:p>
      <w:pPr>
        <w:spacing w:before="240" w:after="300" w:line="380" w:lineRule="atLeast"/>
        <w:jc w:val="center"/>
      </w:pPr>
      <w:r>
        <w:rPr>
          <w:b/>
          <w:bCs/>
          <w:color w:val="2A4A3A"/>
          <w:sz w:val="32"/>
          <w:szCs w:val="32"/>
          <w:rFonts w:ascii="Times New Roman" w:eastAsia="SimHei"/>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评估背景、材料与方法</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背景与目的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输入材料与证据等级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方法与边界</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总体结论</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四条核心判断</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主题总览对比</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第三章  行业文章体系概览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十四篇文章的主题结构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最有价值的五条方法论</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第四章  LawLink 现状盘点</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定位、技术栈与质量现状</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数据模型全景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4.3 治理体系</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已知挂账事项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第五章  逐主题对比分析与建议</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5.1 定位与产品边界（A01/03/04）</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客户主数据治理（A02/06/11）</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文档与全文检索（A07）</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计费与财务（A08，重评 C05）</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期限与提醒（A09）</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权限与安全（A12/13，重评 C03/C07）</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5.7 集成与外部同步（A14）</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5.8 案件生命周期与架构（A05/10）</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领域模型演进方向</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6.1 重评报告证据核查结论</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五对象目标模型</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材料出处链与事实观点分离</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6.4 状态轴分离与三个时钟</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6.5 可靠性工程</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6.6 演进而非重写</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第七章  改进路线图</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第八章  制度级决策事项</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第九章  明确不做与暂缓清单</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第十章  验收标准与风险提示</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10.1 分层验收门槛</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10.2 风险与敏感性</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附录 A  参考文章清单</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附录 B  代码证据核查记录</w:t>
            </w:r>
            <w:r>
              <w:tab/>
            </w:r>
            <w:r>
              <w:fldChar w:fldCharType="begin"/>
            </w:r>
            <w:r>
              <w:instrText xml:space="preserve"> PAGEREF _Toc100038 \h </w:instrText>
            </w:r>
            <w:r>
              <w:fldChar w:fldCharType="separate"/>
            </w:r>
            <w:r>
              <w:t>15</w:t>
            </w:r>
            <w:r>
              <w:fldChar w:fldCharType="end"/>
            </w:r>
          </w:hyperlink>
        </w:p>
        <w:p>
          <w:r>
            <w:fldChar w:fldCharType="end"/>
          </w:r>
        </w:p>
      </w:sdtContent>
    </w:sdt>
    <w:p>
      <w:pPr>
        <w:spacing w:before="200"/>
      </w:pPr>
      <w:r>
        <w:rPr>
          <w:i/>
          <w:iCs/>
          <w:color w:val="888888"/>
          <w:sz w:val="18"/>
          <w:szCs w:val="18"/>
          <w:rFonts w:ascii="Times New Roman" w:eastAsia="SimSun"/>
        </w:rPr>
        <w:t xml:space="preserve">注：本目录由域代码生成。文档编辑后如需刷新页码，请在目录上点击右键并选择“更新域”。</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before="400" w:after="180" w:line="380" w:lineRule="atLeast"/>
      </w:pPr>
      <w:bookmarkStart w:id="100000" w:name="_Toc100000"/>
      <w:r>
        <w:rPr>
          <w:b/>
          <w:bCs/>
          <w:color w:val="2A4A3A"/>
          <w:sz w:val="32"/>
          <w:szCs w:val="32"/>
          <w:rFonts w:ascii="Times New Roman" w:eastAsia="SimHei"/>
        </w:rPr>
        <w:t xml:space="preserve">第一章  评估背景、材料与方法</w:t>
      </w:r>
      <w:bookmarkEnd w:id="100000"/>
    </w:p>
    <w:p>
      <w:pPr>
        <w:pStyle w:val="Heading2"/>
        <w:keepNext/>
        <w:spacing w:before="280" w:after="120" w:line="350" w:lineRule="atLeast"/>
      </w:pPr>
      <w:bookmarkStart w:id="100001" w:name="_Toc100001"/>
      <w:r>
        <w:rPr>
          <w:b/>
          <w:bCs/>
          <w:color w:val="2A4A3A"/>
          <w:sz w:val="28"/>
          <w:szCs w:val="28"/>
          <w:rFonts w:ascii="Times New Roman" w:eastAsia="SimHei"/>
        </w:rPr>
        <w:t xml:space="preserve">1.1 背景与目的</w:t>
      </w:r>
      <w:bookmarkEnd w:id="100001"/>
    </w:p>
    <w:p>
      <w:pPr>
        <w:spacing w:line="312" w:after="60"/>
        <w:ind w:firstLine="480"/>
        <w:jc w:val="both"/>
      </w:pPr>
      <w:r>
        <w:rPr>
          <w:b w:val="false"/>
          <w:bCs w:val="false"/>
          <w:color w:val="000000"/>
          <w:sz w:val="24"/>
          <w:szCs w:val="24"/>
          <w:rFonts w:ascii="Times New Roman" w:eastAsia="SimSun"/>
        </w:rPr>
        <w:t xml:space="preserve">LawLink 是面向独立律师与小型团队的开源、自部署案件管理系统，主线流程为收案登记、冲突检索、转正式案件、持续跟进、财务记录、结案归档与数据导出，技术栈为 Next.js 16、React 19、Prisma 5 与 PostgreSQL 16，单所单实例部署。项目已演进至 1.x 版本，具备完整的审批、团队、角色与证件管理体系。</w:t>
      </w:r>
    </w:p>
    <w:p>
      <w:pPr>
        <w:spacing w:line="312" w:after="60"/>
        <w:ind w:firstLine="480"/>
        <w:jc w:val="both"/>
      </w:pPr>
      <w:r>
        <w:rPr>
          <w:b w:val="false"/>
          <w:bCs w:val="false"/>
          <w:color w:val="000000"/>
          <w:sz w:val="24"/>
          <w:szCs w:val="24"/>
          <w:rFonts w:ascii="Times New Roman" w:eastAsia="SimSun"/>
        </w:rPr>
        <w:t xml:space="preserve">本次评估的目的：吸收外部行业文章的方法论与功能参照，结合一份独立重评报告对领域模型的质疑，形成一份不受既有实现约束、但符合产品定位与现行制度的改进建议清单，供决策者判断取舍并安排排期。评估立场是“更合适、更好”而非“更多”：一切建议以独立律师与小团队的真实工作负荷为尺度。</w:t>
      </w:r>
    </w:p>
    <w:p>
      <w:pPr>
        <w:pStyle w:val="Heading2"/>
        <w:keepNext/>
        <w:spacing w:before="280" w:after="120" w:line="350" w:lineRule="atLeast"/>
      </w:pPr>
      <w:bookmarkStart w:id="100002" w:name="_Toc100002"/>
      <w:r>
        <w:rPr>
          <w:b/>
          <w:bCs/>
          <w:color w:val="2A4A3A"/>
          <w:sz w:val="28"/>
          <w:szCs w:val="28"/>
          <w:rFonts w:ascii="Times New Roman" w:eastAsia="SimHei"/>
        </w:rPr>
        <w:t xml:space="preserve">1.2 输入材料与证据等级</w:t>
      </w:r>
      <w:bookmarkEnd w:id="100002"/>
    </w:p>
    <w:p>
      <w:pPr>
        <w:spacing w:line="312" w:after="60"/>
        <w:ind w:firstLine="480"/>
        <w:jc w:val="both"/>
      </w:pPr>
      <w:r>
        <w:rPr>
          <w:b w:val="false"/>
          <w:bCs w:val="false"/>
          <w:color w:val="000000"/>
          <w:sz w:val="24"/>
          <w:szCs w:val="24"/>
          <w:rFonts w:ascii="Times New Roman" w:eastAsia="SimSun"/>
        </w:rPr>
        <w:t xml:space="preserve">本次分析共使用三份输入材料，性质与可信度不同，故在引用时区分证据等级，见表 1-1。</w:t>
      </w:r>
    </w:p>
    <w:p>
      <w:pPr>
        <w:keepNext/>
        <w:spacing w:before="240" w:after="80" w:line="312"/>
        <w:jc w:val="center"/>
      </w:pPr>
      <w:r>
        <w:rPr>
          <w:b/>
          <w:bCs/>
          <w:color w:val="2A4A3A"/>
          <w:sz w:val="21"/>
          <w:szCs w:val="21"/>
          <w:rFonts w:ascii="Times New Roman" w:eastAsia="SimHei"/>
        </w:rPr>
        <w:t xml:space="preserve">表 1-1  输入材料与证据等级</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材料</w:t>
            </w:r>
          </w:p>
        </w:tc>
        <w:tc>
          <w:tcPr>
            <w:tcW w:type="pct" w:w="5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说明</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证据等级</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 系列文章</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公众号“盲盒系统开发源码分享”14 篇，2026 年 9 月 11 日至 13 日发布，约 5.7 万字，覆盖定位选型、业务模块与平台工程</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设计素材；含营销性质表述，已甄别后引用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B 项目现状</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docs 目录下 PRD、DATA-MODEL、ROADMAP，prisma/schema.prisma（约 60 个 model、50 个 enum），src 目录模块结构</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事实基准；关键点已在数据库结构与代码层核实</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 重评报告</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独立第一性原理重评，主张领域模型系统性重构，附 C01 至 C07 代码证据</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判断输入；其代码证据经本次逐条复核全部属实</w:t>
            </w:r>
          </w:p>
        </w:tc>
      </w:tr>
    </w:tbl>
    <w:p>
      <w:pPr>
        <w:pStyle w:val="Heading2"/>
        <w:keepNext/>
        <w:spacing w:before="280" w:after="120" w:line="350" w:lineRule="atLeast"/>
      </w:pPr>
      <w:bookmarkStart w:id="100003" w:name="_Toc100003"/>
      <w:r>
        <w:rPr>
          <w:b/>
          <w:bCs/>
          <w:color w:val="2A4A3A"/>
          <w:sz w:val="28"/>
          <w:szCs w:val="28"/>
          <w:rFonts w:ascii="Times New Roman" w:eastAsia="SimHei"/>
        </w:rPr>
        <w:t xml:space="preserve">1.3 方法与边界</w:t>
      </w:r>
      <w:bookmarkEnd w:id="100003"/>
    </w:p>
    <w:p>
      <w:pPr>
        <w:spacing w:line="312" w:after="60"/>
        <w:ind w:firstLine="480"/>
        <w:jc w:val="both"/>
      </w:pPr>
      <w:r>
        <w:rPr>
          <w:b w:val="false"/>
          <w:bCs w:val="false"/>
          <w:color w:val="000000"/>
          <w:sz w:val="24"/>
          <w:szCs w:val="24"/>
          <w:rFonts w:ascii="Times New Roman" w:eastAsia="SimSun"/>
        </w:rPr>
        <w:t xml:space="preserve">方法分三步：第一步逐篇提炼 14 篇文章的论点、机制与建议；第二步盘点 LawLink 的产品定位、数据模型、功能模块与治理体系；第三步对两份材料交叉验证，所有影响结论的事实均下探到数据库结构或代码层核对，例如客户证件号字段、期限模型字段、财务更正方式、调度器实现与人工智能审查入口的权限分支。</w:t>
      </w:r>
    </w:p>
    <w:p>
      <w:pPr>
        <w:spacing w:line="312" w:after="60"/>
        <w:ind w:firstLine="480"/>
        <w:jc w:val="both"/>
      </w:pPr>
      <w:r>
        <w:rPr>
          <w:b w:val="false"/>
          <w:bCs w:val="false"/>
          <w:color w:val="000000"/>
          <w:sz w:val="24"/>
          <w:szCs w:val="24"/>
          <w:rFonts w:ascii="Times New Roman" w:eastAsia="SimSun"/>
        </w:rPr>
        <w:t xml:space="preserve">边界有四条。本次未执行渗透测试、恢复演练或全量业务回归，相关结论以静态核查为限；本报告不构成任何数据库迁移或制度变更的执行授权，涉及红线事项仍须单独确认；凡与工作区制度文件 AGENTS.md 冲突的建议，一律归入第八章的制度级决策清单，不在工程清单内直接实施；文章中的营销性内容仅作素材，不构成对任何商业产品优劣的认定。</w:t>
      </w:r>
    </w:p>
    <w:p>
      <w:pPr>
        <w:pStyle w:val="Heading1"/>
        <w:keepNext/>
        <w:spacing w:before="400" w:after="180" w:line="380" w:lineRule="atLeast"/>
      </w:pPr>
      <w:bookmarkStart w:id="100004" w:name="_Toc100004"/>
      <w:r>
        <w:rPr>
          <w:b/>
          <w:bCs/>
          <w:color w:val="2A4A3A"/>
          <w:sz w:val="32"/>
          <w:szCs w:val="32"/>
          <w:rFonts w:ascii="Times New Roman" w:eastAsia="SimHei"/>
        </w:rPr>
        <w:t xml:space="preserve">第二章  总体结论</w:t>
      </w:r>
      <w:bookmarkEnd w:id="100004"/>
    </w:p>
    <w:p>
      <w:pPr>
        <w:pStyle w:val="Heading2"/>
        <w:keepNext/>
        <w:spacing w:before="280" w:after="120" w:line="350" w:lineRule="atLeast"/>
      </w:pPr>
      <w:bookmarkStart w:id="100005" w:name="_Toc100005"/>
      <w:r>
        <w:rPr>
          <w:b/>
          <w:bCs/>
          <w:color w:val="2A4A3A"/>
          <w:sz w:val="28"/>
          <w:szCs w:val="28"/>
          <w:rFonts w:ascii="Times New Roman" w:eastAsia="SimHei"/>
        </w:rPr>
        <w:t xml:space="preserve">2.1 四条核心判断</w:t>
      </w:r>
      <w:bookmarkEnd w:id="100005"/>
    </w:p>
    <w:p>
      <w:pPr>
        <w:spacing w:line="312" w:after="60"/>
        <w:ind w:firstLine="480"/>
        <w:jc w:val="both"/>
      </w:pPr>
      <w:r>
        <w:rPr>
          <w:b/>
          <w:bCs/>
          <w:color w:val="000000"/>
          <w:sz w:val="24"/>
          <w:szCs w:val="24"/>
          <w:rFonts w:ascii="Times New Roman" w:eastAsia="SimSun"/>
        </w:rPr>
        <w:t xml:space="preserve">判断一：主线领先，不推倒重来。</w:t>
      </w:r>
      <w:r>
        <w:rPr>
          <w:b w:val="false"/>
          <w:bCs w:val="false"/>
          <w:color w:val="000000"/>
          <w:sz w:val="24"/>
          <w:szCs w:val="24"/>
          <w:rFonts w:ascii="Times New Roman" w:eastAsia="SimSun"/>
        </w:rPr>
        <w:t xml:space="preserve">LawLink 的收案、冲突检索、程序工作台、统一审批、归档校验链路，以及带法条核验信息的期限规则库，精细度超过文章描述的行业通用模型；文章的部分设计（如账单快照、五级提醒）值得吸收，但均可在现有模型上增量实现。</w:t>
      </w:r>
    </w:p>
    <w:p>
      <w:pPr>
        <w:spacing w:line="312" w:after="60"/>
        <w:ind w:firstLine="480"/>
        <w:jc w:val="both"/>
      </w:pPr>
      <w:r>
        <w:rPr>
          <w:b/>
          <w:bCs/>
          <w:color w:val="000000"/>
          <w:sz w:val="24"/>
          <w:szCs w:val="24"/>
          <w:rFonts w:ascii="Times New Roman" w:eastAsia="SimSun"/>
        </w:rPr>
        <w:t xml:space="preserve">判断二：差距在工程纪律而非功能数量。</w:t>
      </w:r>
      <w:r>
        <w:rPr>
          <w:b w:val="false"/>
          <w:bCs w:val="false"/>
          <w:color w:val="000000"/>
          <w:sz w:val="24"/>
          <w:szCs w:val="24"/>
          <w:rFonts w:ascii="Times New Roman" w:eastAsia="SimSun"/>
        </w:rPr>
        <w:t xml:space="preserve">对照后最薄弱的六处是：文档缺少文本层与全文检索；财务更正依赖物理删除、缺少核销与快照纪律；期限提醒只有单档阈值且失败静默；客户证件号明文存储且无唯一约束；登录无失败锁定、无双步验证；外部调用无台账、成本不可见。</w:t>
      </w:r>
    </w:p>
    <w:p>
      <w:pPr>
        <w:spacing w:line="312" w:after="60"/>
        <w:ind w:firstLine="480"/>
        <w:jc w:val="both"/>
      </w:pPr>
      <w:r>
        <w:rPr>
          <w:b/>
          <w:bCs/>
          <w:color w:val="000000"/>
          <w:sz w:val="24"/>
          <w:szCs w:val="24"/>
          <w:rFonts w:ascii="Times New Roman" w:eastAsia="SimSun"/>
        </w:rPr>
        <w:t xml:space="preserve">判断三：领域模型缺口成立，但应演进而非重写。</w:t>
      </w:r>
      <w:r>
        <w:rPr>
          <w:b w:val="false"/>
          <w:bCs w:val="false"/>
          <w:color w:val="000000"/>
          <w:sz w:val="24"/>
          <w:szCs w:val="24"/>
          <w:rFonts w:ascii="Times New Roman" w:eastAsia="SimSun"/>
        </w:rPr>
        <w:t xml:space="preserve">重评报告指出 Matter 同时承载委托、工作事项与程序三重语义，关联案件仅有裸双端标识，材料缺乏页级出处，这些在代码层均得到证实；但其“系统性重构”主张应转译为分阶段增量迁移，以六个业务样例作为验收门槛，重评报告自身亦未承诺重写路线工期更短。</w:t>
      </w:r>
    </w:p>
    <w:p>
      <w:pPr>
        <w:spacing w:line="312" w:after="60"/>
        <w:ind w:firstLine="480"/>
        <w:jc w:val="both"/>
      </w:pPr>
      <w:r>
        <w:rPr>
          <w:b/>
          <w:bCs/>
          <w:color w:val="000000"/>
          <w:sz w:val="24"/>
          <w:szCs w:val="24"/>
          <w:rFonts w:ascii="Times New Roman" w:eastAsia="SimSun"/>
        </w:rPr>
        <w:t xml:space="preserve">判断四：制度先行。</w:t>
      </w:r>
      <w:r>
        <w:rPr>
          <w:b w:val="false"/>
          <w:bCs w:val="false"/>
          <w:color w:val="000000"/>
          <w:sz w:val="24"/>
          <w:szCs w:val="24"/>
          <w:rFonts w:ascii="Times New Roman" w:eastAsia="SimSun"/>
        </w:rPr>
        <w:t xml:space="preserve">重评报告关于团队历史访问默认、建号必传证件照片、普遍审批模式的三处建议，与工作区制度文件已确认的设计直接冲突，须先修订制度再动代码，详见第八章。</w:t>
      </w:r>
    </w:p>
    <w:p>
      <w:pPr>
        <w:pStyle w:val="Heading2"/>
        <w:keepNext/>
        <w:spacing w:before="280" w:after="120" w:line="350" w:lineRule="atLeast"/>
      </w:pPr>
      <w:bookmarkStart w:id="100006" w:name="_Toc100006"/>
      <w:r>
        <w:rPr>
          <w:b/>
          <w:bCs/>
          <w:color w:val="2A4A3A"/>
          <w:sz w:val="28"/>
          <w:szCs w:val="28"/>
          <w:rFonts w:ascii="Times New Roman" w:eastAsia="SimHei"/>
        </w:rPr>
        <w:t xml:space="preserve">2.2 主题总览对比</w:t>
      </w:r>
      <w:bookmarkEnd w:id="100006"/>
    </w:p>
    <w:p>
      <w:pPr>
        <w:spacing w:line="312" w:after="60"/>
        <w:ind w:firstLine="480"/>
        <w:jc w:val="both"/>
      </w:pPr>
      <w:r>
        <w:rPr>
          <w:b w:val="false"/>
          <w:bCs w:val="false"/>
          <w:color w:val="000000"/>
          <w:sz w:val="24"/>
          <w:szCs w:val="24"/>
          <w:rFonts w:ascii="Times New Roman" w:eastAsia="SimSun"/>
        </w:rPr>
        <w:t xml:space="preserve">表 2-1 按九个维度汇总文章与重评主张、LawLink 现状及本报告判断，后续章节逐项展开。</w:t>
      </w:r>
    </w:p>
    <w:p>
      <w:pPr>
        <w:keepNext/>
        <w:spacing w:before="240" w:after="80" w:line="312"/>
        <w:jc w:val="center"/>
      </w:pPr>
      <w:r>
        <w:rPr>
          <w:b/>
          <w:bCs/>
          <w:color w:val="2A4A3A"/>
          <w:sz w:val="21"/>
          <w:szCs w:val="21"/>
          <w:rFonts w:ascii="Times New Roman" w:eastAsia="SimHei"/>
        </w:rPr>
        <w:t xml:space="preserve">表 2-1  主题总览对比</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维度</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文章与重评主张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LawLink 现状</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判断</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定位与边界</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以案件为唯一主数据；按规模分档选型；警惕大而全（A01/03）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以案件为中心，明确一至五人小所自部署定位</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持平偏领先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证件号唯一索引兜底，建档与导入查重前置（A02/06/11）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证件号明文、无证件类型字段、无唯一约束</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文档与检索</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版本链、识别转换与倒排全文检索（A07）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版本族与内容校验值完备；无文本层、无全文检索</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最大功能空白</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账单快照、作废事务、核销分离（A08）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按件收费完整；更正依赖物理删除（C05）</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差距，分步补强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期限与提醒</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期限规则引擎、五级阶梯提醒与责任闭环（A09）</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规则库领先；提醒单阈值、无升级链</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规则领先、提醒差距</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角色加数据范围、脱敏水印、越权自测（A12）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三层角色分离加按事项审批，超出文章模型；缺水印与权限回归测试</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领先，小幅补强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字段加密、盲索引、双步验证、审计只增（A13）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证件照片加密完备；证件号明文、无登录锁定</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领域模型</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委托、事项、程序、材料版本应分离（重评 C01）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三重语义混同于案件实体；关联仅裸双端标识</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结构性缺口，P2 演进</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可靠性</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后台执行器、幂等、死信与对账（A09/14，重评 C04）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进程内调度，注释自认重启可能错过触发</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缺口，列入 P1</w:t>
            </w:r>
          </w:p>
        </w:tc>
      </w:tr>
    </w:tbl>
    <w:p>
      <w:pPr>
        <w:pStyle w:val="Heading1"/>
        <w:keepNext/>
        <w:spacing w:before="400" w:after="180" w:line="380" w:lineRule="atLeast"/>
      </w:pPr>
      <w:bookmarkStart w:id="100007" w:name="_Toc100007"/>
      <w:r>
        <w:rPr>
          <w:b/>
          <w:bCs/>
          <w:color w:val="2A4A3A"/>
          <w:sz w:val="32"/>
          <w:szCs w:val="32"/>
          <w:rFonts w:ascii="Times New Roman" w:eastAsia="SimHei"/>
        </w:rPr>
        <w:t xml:space="preserve">第三章  行业文章体系概览</w:t>
      </w:r>
      <w:bookmarkEnd w:id="100007"/>
    </w:p>
    <w:p>
      <w:pPr>
        <w:pStyle w:val="Heading2"/>
        <w:keepNext/>
        <w:spacing w:before="280" w:after="120" w:line="350" w:lineRule="atLeast"/>
      </w:pPr>
      <w:bookmarkStart w:id="100008" w:name="_Toc100008"/>
      <w:r>
        <w:rPr>
          <w:b/>
          <w:bCs/>
          <w:color w:val="2A4A3A"/>
          <w:sz w:val="28"/>
          <w:szCs w:val="28"/>
          <w:rFonts w:ascii="Times New Roman" w:eastAsia="SimHei"/>
        </w:rPr>
        <w:t xml:space="preserve">3.1 十四篇文章的主题结构</w:t>
      </w:r>
      <w:bookmarkEnd w:id="100008"/>
    </w:p>
    <w:p>
      <w:pPr>
        <w:spacing w:line="312" w:after="60"/>
        <w:ind w:firstLine="480"/>
        <w:jc w:val="both"/>
      </w:pPr>
      <w:r>
        <w:rPr>
          <w:b w:val="false"/>
          <w:bCs w:val="false"/>
          <w:color w:val="000000"/>
          <w:sz w:val="24"/>
          <w:szCs w:val="24"/>
          <w:rFonts w:ascii="Times New Roman" w:eastAsia="SimSun"/>
        </w:rPr>
        <w:t xml:space="preserve">14 篇文章出自同一系列，按主题可分为三组，构成从定位、模块到平台工程的完整叙事，见表 3-1。文章面向商业律所系统与中大所场景，其中约三分之一的内容（电子账单标准、双向日历同步、多租户、信托账户全套等）与 LawLink 定位不匹配，第九章专门列出不宜照搬清单。</w:t>
      </w:r>
    </w:p>
    <w:p>
      <w:pPr>
        <w:keepNext/>
        <w:spacing w:before="240" w:after="80" w:line="312"/>
        <w:jc w:val="center"/>
      </w:pPr>
      <w:r>
        <w:rPr>
          <w:b/>
          <w:bCs/>
          <w:color w:val="2A4A3A"/>
          <w:sz w:val="21"/>
          <w:szCs w:val="21"/>
          <w:rFonts w:ascii="Times New Roman" w:eastAsia="SimHei"/>
        </w:rPr>
        <w:t xml:space="preserve">表 3-1  文章主题分组</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组别</w:t>
            </w:r>
          </w:p>
        </w:tc>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核心主题</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定位与选型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 至 04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以案件为中心的品类判定三问；结构化数据模型相对手工台账的价值；规模分档与通用型、领域深耕型路线取舍；部署模式与总拥有成本</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业务模块</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 至 09</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案件全生命周期状态机与归档完整性；客户主数据分层与角色关联表；文档版本控制与识别转换；计费流水、账单快照与资金对账；期限计算与阶梯提醒</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平台工程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 至 14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前后端与数据库选型；约三十张核心表的设计红线；权限的两层正交模型；加密、密钥与审计留痕；外部集成的幂等与对账工程</w:t>
            </w:r>
          </w:p>
        </w:tc>
      </w:tr>
    </w:tbl>
    <w:p>
      <w:pPr>
        <w:pStyle w:val="Heading2"/>
        <w:keepNext/>
        <w:spacing w:before="280" w:after="120" w:line="350" w:lineRule="atLeast"/>
      </w:pPr>
      <w:bookmarkStart w:id="100009" w:name="_Toc100009"/>
      <w:r>
        <w:rPr>
          <w:b/>
          <w:bCs/>
          <w:color w:val="2A4A3A"/>
          <w:sz w:val="28"/>
          <w:szCs w:val="28"/>
          <w:rFonts w:ascii="Times New Roman" w:eastAsia="SimHei"/>
        </w:rPr>
        <w:t xml:space="preserve">3.2 最有价值的五条方法论</w:t>
      </w:r>
      <w:bookmarkEnd w:id="100009"/>
    </w:p>
    <w:p>
      <w:pPr>
        <w:spacing w:line="312" w:after="60"/>
        <w:ind w:firstLine="480"/>
        <w:jc w:val="both"/>
      </w:pPr>
      <w:r>
        <w:rPr>
          <w:b w:val="false"/>
          <w:bCs w:val="false"/>
          <w:color w:val="000000"/>
          <w:sz w:val="24"/>
          <w:szCs w:val="24"/>
          <w:rFonts w:ascii="Times New Roman" w:eastAsia="SimSun"/>
        </w:rPr>
        <w:t xml:space="preserve">剥离具体功能后，文章体系中对小所系统最有迁移价值的是五条工程纪律，它们与收费模式、规模无关，是本报告多项建议的直接依据。</w:t>
      </w:r>
    </w:p>
    <w:p>
      <w:pPr>
        <w:pStyle w:val="ListParagraph"/>
        <w:numPr>
          <w:ilvl w:val="0"/>
          <w:numId w:val="2"/>
        </w:numPr>
        <w:spacing w:line="312" w:after="40"/>
        <w:jc w:val="both"/>
      </w:pPr>
      <w:r>
        <w:rPr>
          <w:b/>
          <w:bCs/>
          <w:color w:val="000000"/>
          <w:sz w:val="24"/>
          <w:szCs w:val="24"/>
          <w:rFonts w:ascii="Times New Roman" w:eastAsia="SimSun"/>
        </w:rPr>
        <w:t xml:space="preserve">主数据唯一性兜底。</w:t>
      </w:r>
      <w:r>
        <w:rPr>
          <w:b w:val="false"/>
          <w:bCs w:val="false"/>
          <w:color w:val="000000"/>
          <w:sz w:val="24"/>
          <w:szCs w:val="24"/>
          <w:rFonts w:ascii="Times New Roman" w:eastAsia="SimSun"/>
        </w:rPr>
        <w:t xml:space="preserve">证件号码或统一社会信用代码应有数据库层唯一约束，建档与导入两个入口做查重前置；客户主数据不干净，则案源统计、冲突检索与财务对账全部返工（A02/06/11）。</w:t>
      </w:r>
    </w:p>
    <w:p>
      <w:pPr>
        <w:pStyle w:val="ListParagraph"/>
        <w:numPr>
          <w:ilvl w:val="0"/>
          <w:numId w:val="2"/>
        </w:numPr>
        <w:spacing w:line="312" w:after="40"/>
        <w:jc w:val="both"/>
      </w:pPr>
      <w:r>
        <w:rPr>
          <w:b/>
          <w:bCs/>
          <w:color w:val="000000"/>
          <w:sz w:val="24"/>
          <w:szCs w:val="24"/>
          <w:rFonts w:ascii="Times New Roman" w:eastAsia="SimSun"/>
        </w:rPr>
        <w:t xml:space="preserve">历史数据快照不可漂移。</w:t>
      </w:r>
      <w:r>
        <w:rPr>
          <w:b w:val="false"/>
          <w:bCs w:val="false"/>
          <w:color w:val="000000"/>
          <w:sz w:val="24"/>
          <w:szCs w:val="24"/>
          <w:rFonts w:ascii="Times New Roman" w:eastAsia="SimSun"/>
        </w:rPr>
        <w:t xml:space="preserve">账单生成时固化金额明细，费率入账即快照；源数据后续修改不得改变已确认单据的历史口径（A08）。</w:t>
      </w:r>
    </w:p>
    <w:p>
      <w:pPr>
        <w:pStyle w:val="ListParagraph"/>
        <w:numPr>
          <w:ilvl w:val="0"/>
          <w:numId w:val="2"/>
        </w:numPr>
        <w:spacing w:line="312" w:after="40"/>
        <w:jc w:val="both"/>
      </w:pPr>
      <w:r>
        <w:rPr>
          <w:b/>
          <w:bCs/>
          <w:color w:val="000000"/>
          <w:sz w:val="24"/>
          <w:szCs w:val="24"/>
          <w:rFonts w:ascii="Times New Roman" w:eastAsia="SimSun"/>
        </w:rPr>
        <w:t xml:space="preserve">提醒失败不可静默。</w:t>
      </w:r>
      <w:r>
        <w:rPr>
          <w:b w:val="false"/>
          <w:bCs w:val="false"/>
          <w:color w:val="000000"/>
          <w:sz w:val="24"/>
          <w:szCs w:val="24"/>
          <w:rFonts w:ascii="Times New Roman" w:eastAsia="SimSun"/>
        </w:rPr>
        <w:t xml:space="preserve">同步与提醒任务失败必须可见、可查、可补发，禁止无声丢弃（A09/14）。</w:t>
      </w:r>
    </w:p>
    <w:p>
      <w:pPr>
        <w:pStyle w:val="ListParagraph"/>
        <w:numPr>
          <w:ilvl w:val="0"/>
          <w:numId w:val="2"/>
        </w:numPr>
        <w:spacing w:line="312" w:after="40"/>
        <w:jc w:val="both"/>
      </w:pPr>
      <w:r>
        <w:rPr>
          <w:b/>
          <w:bCs/>
          <w:color w:val="000000"/>
          <w:sz w:val="24"/>
          <w:szCs w:val="24"/>
          <w:rFonts w:ascii="Times New Roman" w:eastAsia="SimSun"/>
        </w:rPr>
        <w:t xml:space="preserve">检索层必须带权限上下文。</w:t>
      </w:r>
      <w:r>
        <w:rPr>
          <w:b w:val="false"/>
          <w:bCs w:val="false"/>
          <w:color w:val="000000"/>
          <w:sz w:val="24"/>
          <w:szCs w:val="24"/>
          <w:rFonts w:ascii="Times New Roman" w:eastAsia="SimSun"/>
        </w:rPr>
        <w:t xml:space="preserve">文档表、版本表、检索索引任何一处遗漏权限过滤都会造成越权读取；派生内容继承源对象权限（A07/12）。</w:t>
      </w:r>
    </w:p>
    <w:p>
      <w:pPr>
        <w:pStyle w:val="ListParagraph"/>
        <w:numPr>
          <w:ilvl w:val="0"/>
          <w:numId w:val="2"/>
        </w:numPr>
        <w:spacing w:line="312" w:after="40"/>
        <w:jc w:val="both"/>
      </w:pPr>
      <w:r>
        <w:rPr>
          <w:b/>
          <w:bCs/>
          <w:color w:val="000000"/>
          <w:sz w:val="24"/>
          <w:szCs w:val="24"/>
          <w:rFonts w:ascii="Times New Roman" w:eastAsia="SimSun"/>
        </w:rPr>
        <w:t xml:space="preserve">安全补在实现细节。</w:t>
      </w:r>
      <w:r>
        <w:rPr>
          <w:b w:val="false"/>
          <w:bCs w:val="false"/>
          <w:color w:val="000000"/>
          <w:sz w:val="24"/>
          <w:szCs w:val="24"/>
          <w:rFonts w:ascii="Times New Roman" w:eastAsia="SimSun"/>
        </w:rPr>
        <w:t xml:space="preserve">多数泄露并非算法被攻破，而是密钥管理、登录保护、越权接口校验等实现问题（A13）。</w:t>
      </w:r>
    </w:p>
    <w:p>
      <w:pPr>
        <w:pStyle w:val="Heading1"/>
        <w:keepNext/>
        <w:spacing w:before="400" w:after="180" w:line="380" w:lineRule="atLeast"/>
      </w:pPr>
      <w:bookmarkStart w:id="100010" w:name="_Toc100010"/>
      <w:r>
        <w:rPr>
          <w:b/>
          <w:bCs/>
          <w:color w:val="2A4A3A"/>
          <w:sz w:val="32"/>
          <w:szCs w:val="32"/>
          <w:rFonts w:ascii="Times New Roman" w:eastAsia="SimHei"/>
        </w:rPr>
        <w:t xml:space="preserve">第四章  LawLink 现状盘点</w:t>
      </w:r>
      <w:bookmarkEnd w:id="100010"/>
    </w:p>
    <w:p>
      <w:pPr>
        <w:pStyle w:val="Heading2"/>
        <w:keepNext/>
        <w:spacing w:before="280" w:after="120" w:line="350" w:lineRule="atLeast"/>
      </w:pPr>
      <w:bookmarkStart w:id="100011" w:name="_Toc100011"/>
      <w:r>
        <w:rPr>
          <w:b/>
          <w:bCs/>
          <w:color w:val="2A4A3A"/>
          <w:sz w:val="28"/>
          <w:szCs w:val="28"/>
          <w:rFonts w:ascii="Times New Roman" w:eastAsia="SimHei"/>
        </w:rPr>
        <w:t xml:space="preserve">4.1 定位、技术栈与质量现状</w:t>
      </w:r>
      <w:bookmarkEnd w:id="100011"/>
    </w:p>
    <w:p>
      <w:pPr>
        <w:spacing w:line="312" w:after="60"/>
        <w:ind w:firstLine="480"/>
        <w:jc w:val="both"/>
      </w:pPr>
      <w:r>
        <w:rPr>
          <w:b w:val="false"/>
          <w:bCs w:val="false"/>
          <w:color w:val="000000"/>
          <w:sz w:val="24"/>
          <w:szCs w:val="24"/>
          <w:rFonts w:ascii="Times New Roman" w:eastAsia="SimSun"/>
        </w:rPr>
        <w:t xml:space="preserve">LawLink 定位独立律师与一至五人小团队，明确排除客户门户、多机构多租户与大所级功能；交付形态为 Docker Compose 单实例，附带备份定时任务与云服务器安装指南。质量侧现有四十余个单元测试文件，集中在解析器、报表与期限规则，尚无端到端测试与权限矩阵自动化回归。</w:t>
      </w:r>
    </w:p>
    <w:p>
      <w:pPr>
        <w:pStyle w:val="Heading2"/>
        <w:keepNext/>
        <w:spacing w:before="280" w:after="120" w:line="350" w:lineRule="atLeast"/>
      </w:pPr>
      <w:bookmarkStart w:id="100012" w:name="_Toc100012"/>
      <w:r>
        <w:rPr>
          <w:b/>
          <w:bCs/>
          <w:color w:val="2A4A3A"/>
          <w:sz w:val="28"/>
          <w:szCs w:val="28"/>
          <w:rFonts w:ascii="Times New Roman" w:eastAsia="SimHei"/>
        </w:rPr>
        <w:t xml:space="preserve">4.2 数据模型全景</w:t>
      </w:r>
      <w:bookmarkEnd w:id="100012"/>
    </w:p>
    <w:p>
      <w:pPr>
        <w:spacing w:line="312" w:after="60"/>
        <w:ind w:firstLine="480"/>
        <w:jc w:val="both"/>
      </w:pPr>
      <w:r>
        <w:rPr>
          <w:b w:val="false"/>
          <w:bCs w:val="false"/>
          <w:color w:val="000000"/>
          <w:sz w:val="24"/>
          <w:szCs w:val="24"/>
          <w:rFonts w:ascii="Times New Roman" w:eastAsia="SimSun"/>
        </w:rPr>
        <w:t xml:space="preserve">数据库约含六十个模型。案件域为核心三层：收案线索转正式案件，正式案件下挂多个程序（约二十种程序类型），程序下挂阶段；诉讼地位枚举超过二十个取值，覆盖民事、刑事、仲裁与执行；内置一千七百余条规范案由树。冲突检索带查询快照与分级命中记录；期限规则库十二条内置规则并附法条出处与核验时间戳。文档域具备版本族、内容校验值与可选的加密存储。财务域为结算单、收付流水、开票申请与分成计划。治理域含审批权限组、印章配置、归档清单快照与审计日志。</w:t>
      </w:r>
    </w:p>
    <w:p>
      <w:pPr>
        <w:pStyle w:val="Heading2"/>
        <w:keepNext/>
        <w:spacing w:before="280" w:after="120" w:line="350" w:lineRule="atLeast"/>
      </w:pPr>
      <w:bookmarkStart w:id="100013" w:name="_Toc100013"/>
      <w:r>
        <w:rPr>
          <w:b/>
          <w:bCs/>
          <w:color w:val="2A4A3A"/>
          <w:sz w:val="28"/>
          <w:szCs w:val="28"/>
          <w:rFonts w:ascii="Times New Roman" w:eastAsia="SimHei"/>
        </w:rPr>
        <w:t xml:space="preserve">4.3 治理体系</w:t>
      </w:r>
      <w:bookmarkEnd w:id="100013"/>
    </w:p>
    <w:p>
      <w:pPr>
        <w:spacing w:line="312" w:after="60"/>
        <w:ind w:firstLine="480"/>
        <w:jc w:val="both"/>
      </w:pPr>
      <w:r>
        <w:rPr>
          <w:b w:val="false"/>
          <w:bCs w:val="false"/>
          <w:color w:val="000000"/>
          <w:sz w:val="24"/>
          <w:szCs w:val="24"/>
          <w:rFonts w:ascii="Times New Roman" w:eastAsia="SimSun"/>
        </w:rPr>
        <w:t xml:space="preserve">权限采用三层分离：业务岗位角色、系统管理身份与独立配置的审批权限组；所有账号含超级管理员均须按事项授权取得审批与盖章回填资格。团队只读授权按成员关系实时计算，不落案件字段、撤权即时生效、不授予导出与财务。个人身份证件照片独立加密存储，明文查看逐次审计。统一审批工作台聚合收案、文书、归档、开票、用章五类事项。</w:t>
      </w:r>
    </w:p>
    <w:p>
      <w:pPr>
        <w:pStyle w:val="Heading2"/>
        <w:keepNext/>
        <w:spacing w:before="280" w:after="120" w:line="350" w:lineRule="atLeast"/>
      </w:pPr>
      <w:bookmarkStart w:id="100014" w:name="_Toc100014"/>
      <w:r>
        <w:rPr>
          <w:b/>
          <w:bCs/>
          <w:color w:val="2A4A3A"/>
          <w:sz w:val="28"/>
          <w:szCs w:val="28"/>
          <w:rFonts w:ascii="Times New Roman" w:eastAsia="SimHei"/>
        </w:rPr>
        <w:t xml:space="preserve">4.4 已知挂账事项</w:t>
      </w:r>
      <w:bookmarkEnd w:id="100014"/>
    </w:p>
    <w:p>
      <w:pPr>
        <w:spacing w:line="312" w:after="60"/>
        <w:ind w:firstLine="480"/>
        <w:jc w:val="both"/>
      </w:pPr>
      <w:r>
        <w:rPr>
          <w:b w:val="false"/>
          <w:bCs w:val="false"/>
          <w:color w:val="000000"/>
          <w:sz w:val="24"/>
          <w:szCs w:val="24"/>
          <w:rFonts w:ascii="Times New Roman" w:eastAsia="SimSun"/>
        </w:rPr>
        <w:t xml:space="preserve">项目自身记录的未完事项包括：期限规则管理界面未落地（规则数据已具备，仅缺增删改入口）；时间线与审计日志双写待统一服务入口；移动端三个核心页面的真机走查待完成；律师自定义文书模板上传未见独立页面。这些挂账事项与本报告建议存在直接呼应，一并纳入路线图。</w:t>
      </w:r>
    </w:p>
    <w:p>
      <w:pPr>
        <w:pStyle w:val="Heading1"/>
        <w:keepNext/>
        <w:spacing w:before="400" w:after="180" w:line="380" w:lineRule="atLeast"/>
      </w:pPr>
      <w:bookmarkStart w:id="100015" w:name="_Toc100015"/>
      <w:r>
        <w:rPr>
          <w:b/>
          <w:bCs/>
          <w:color w:val="2A4A3A"/>
          <w:sz w:val="32"/>
          <w:szCs w:val="32"/>
          <w:rFonts w:ascii="Times New Roman" w:eastAsia="SimHei"/>
        </w:rPr>
        <w:t xml:space="preserve">第五章  逐主题对比分析与建议</w:t>
      </w:r>
      <w:bookmarkEnd w:id="100015"/>
    </w:p>
    <w:p>
      <w:pPr>
        <w:pStyle w:val="Heading2"/>
        <w:keepNext/>
        <w:spacing w:before="280" w:after="120" w:line="350" w:lineRule="atLeast"/>
      </w:pPr>
      <w:bookmarkStart w:id="100016" w:name="_Toc100016"/>
      <w:r>
        <w:rPr>
          <w:b/>
          <w:bCs/>
          <w:color w:val="2A4A3A"/>
          <w:sz w:val="28"/>
          <w:szCs w:val="28"/>
          <w:rFonts w:ascii="Times New Roman" w:eastAsia="SimHei"/>
        </w:rPr>
        <w:t xml:space="preserve">5.1 定位与产品边界（A01/03/04）</w:t>
      </w:r>
      <w:bookmarkEnd w:id="100016"/>
    </w:p>
    <w:p>
      <w:pPr>
        <w:spacing w:line="312" w:after="60"/>
        <w:ind w:firstLine="480"/>
        <w:jc w:val="both"/>
      </w:pPr>
      <w:r>
        <w:rPr>
          <w:b w:val="false"/>
          <w:bCs w:val="false"/>
          <w:color w:val="000000"/>
          <w:sz w:val="24"/>
          <w:szCs w:val="24"/>
          <w:rFonts w:ascii="Times New Roman" w:eastAsia="SimSun"/>
        </w:rPr>
        <w:t xml:space="preserve">文章提出以案件为中心的品类判定三问：开案是否先有客户档案、开案前是否做利益冲突检查、同一客户多案件是否共享时间线。LawLink 三问全部满足。规模分档上，LawLink 精准落在一至十人微型所档位，该档位的核心诉求是开案快、文件找得到、月底能出账，而非治理与集成。</w:t>
      </w:r>
    </w:p>
    <w:p>
      <w:pPr>
        <w:spacing w:line="312" w:after="60"/>
        <w:ind w:firstLine="480"/>
        <w:jc w:val="both"/>
      </w:pPr>
      <w:r>
        <w:rPr>
          <w:b/>
          <w:bCs/>
          <w:color w:val="000000"/>
          <w:sz w:val="24"/>
          <w:szCs w:val="24"/>
          <w:rFonts w:ascii="Times New Roman" w:eastAsia="SimSun"/>
        </w:rPr>
        <w:t xml:space="preserve">结论与建议：</w:t>
      </w:r>
      <w:r>
        <w:rPr>
          <w:b w:val="false"/>
          <w:bCs w:val="false"/>
          <w:color w:val="000000"/>
          <w:sz w:val="24"/>
          <w:szCs w:val="24"/>
          <w:rFonts w:ascii="Times New Roman" w:eastAsia="SimSun"/>
        </w:rPr>
        <w:t xml:space="preserve">定位不变，不因文章的大所叙事扩张功能。短板在自部署产品成熟度而非功能清单：建议补三份部署者文档，即备份恢复演练的标准命令与校验步骤、版本升级与回退指南、数据分级说明（哪些数据不出所、附件加密开关的取舍）。此外应正视重评报告的“买与造”检验：若可核验的材料来源、中文卷宗、私有部署与文字处理工作流不再是核心需求，采购成熟产品可能优于继续自研；当前这些需求成立，自研理由依然充分。</w:t>
      </w:r>
    </w:p>
    <w:p>
      <w:pPr>
        <w:pStyle w:val="Heading2"/>
        <w:keepNext/>
        <w:spacing w:before="280" w:after="120" w:line="350" w:lineRule="atLeast"/>
      </w:pPr>
      <w:bookmarkStart w:id="100017" w:name="_Toc100017"/>
      <w:r>
        <w:rPr>
          <w:b/>
          <w:bCs/>
          <w:color w:val="2A4A3A"/>
          <w:sz w:val="28"/>
          <w:szCs w:val="28"/>
          <w:rFonts w:ascii="Times New Roman" w:eastAsia="SimHei"/>
        </w:rPr>
        <w:t xml:space="preserve">5.2 客户主数据治理（A02/06/11）</w:t>
      </w:r>
      <w:bookmarkEnd w:id="100017"/>
    </w:p>
    <w:p>
      <w:pPr>
        <w:spacing w:line="312" w:after="60"/>
        <w:ind w:firstLine="480"/>
        <w:jc w:val="both"/>
      </w:pPr>
      <w:r>
        <w:rPr>
          <w:b/>
          <w:bCs/>
          <w:color w:val="000000"/>
          <w:sz w:val="24"/>
          <w:szCs w:val="24"/>
          <w:rFonts w:ascii="Times New Roman" w:eastAsia="SimSun"/>
        </w:rPr>
        <w:t xml:space="preserve">现状缺口经数据库核实：</w:t>
      </w:r>
      <w:r>
        <w:rPr>
          <w:b w:val="false"/>
          <w:bCs w:val="false"/>
          <w:color w:val="000000"/>
          <w:sz w:val="24"/>
          <w:szCs w:val="24"/>
          <w:rFonts w:ascii="Times New Roman" w:eastAsia="SimSun"/>
        </w:rPr>
        <w:t xml:space="preserve">客户的证件号码字段为明文可空文本，只有普通索引、没有唯一约束，也没有证件类型字段；收案时虽有自动建档联想，但批量导入路径没有查重与合并机制；客户来源渠道字段已存在但未进入任何报表。同一主体重复建档目前无任何数据库层兜底。</w:t>
      </w:r>
    </w:p>
    <w:p>
      <w:pPr>
        <w:spacing w:line="312" w:after="60"/>
        <w:ind w:firstLine="480"/>
        <w:jc w:val="both"/>
      </w:pPr>
      <w:r>
        <w:rPr>
          <w:b/>
          <w:bCs/>
          <w:color w:val="000000"/>
          <w:sz w:val="24"/>
          <w:szCs w:val="24"/>
          <w:rFonts w:ascii="Times New Roman" w:eastAsia="SimSun"/>
        </w:rPr>
        <w:t xml:space="preserve">建议（P0，三步）：</w:t>
      </w:r>
      <w:r>
        <w:rPr>
          <w:b w:val="false"/>
          <w:bCs w:val="false"/>
          <w:color w:val="000000"/>
          <w:sz w:val="24"/>
          <w:szCs w:val="24"/>
          <w:rFonts w:ascii="Times New Roman" w:eastAsia="SimSun"/>
        </w:rPr>
        <w:t xml:space="preserve">第一步为客户增加证件类型字段并建立类型加号码的复合唯一约束，软删除场景以删除时间参与联合唯一，避免文章指出的唯一键与软删除打架问题；第二步在建档、收案、导入三个入口统一查重服务（名称与证件号两级匹配），命中提供合并操作，迁移引用后软删旧档并留审计；第三步报表增加客户来源渠道分布，让既有字段产生价值。不建议引入文章的客户自动分级规则引擎。</w:t>
      </w:r>
    </w:p>
    <w:p>
      <w:pPr>
        <w:pStyle w:val="Heading2"/>
        <w:keepNext/>
        <w:spacing w:before="280" w:after="120" w:line="350" w:lineRule="atLeast"/>
      </w:pPr>
      <w:bookmarkStart w:id="100018" w:name="_Toc100018"/>
      <w:r>
        <w:rPr>
          <w:b/>
          <w:bCs/>
          <w:color w:val="2A4A3A"/>
          <w:sz w:val="28"/>
          <w:szCs w:val="28"/>
          <w:rFonts w:ascii="Times New Roman" w:eastAsia="SimHei"/>
        </w:rPr>
        <w:t xml:space="preserve">5.3 文档与全文检索（A07）</w:t>
      </w:r>
      <w:bookmarkEnd w:id="100018"/>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版本控制做得扎实（版本族、内容校验值、可选加密），但文档表没有任何正文或识别文本字段，全局搜索仅覆盖标题级元数据；已有的发票与文书识别结果未沉淀为可检索资产，文书审查记录模型已建但仅存档不展示。“文件找得到”正是文章所列微型所三大诉求之一，这是当前最大的能力空白。</w:t>
      </w:r>
    </w:p>
    <w:p>
      <w:pPr>
        <w:spacing w:line="312" w:after="60"/>
        <w:ind w:firstLine="480"/>
        <w:jc w:val="both"/>
      </w:pPr>
      <w:r>
        <w:rPr>
          <w:b/>
          <w:bCs/>
          <w:color w:val="000000"/>
          <w:sz w:val="24"/>
          <w:szCs w:val="24"/>
          <w:rFonts w:ascii="Times New Roman" w:eastAsia="SimSun"/>
        </w:rPr>
        <w:t xml:space="preserve">建议（P0 起步、P1 深化）：</w:t>
      </w:r>
      <w:r>
        <w:rPr>
          <w:b w:val="false"/>
          <w:bCs w:val="false"/>
          <w:color w:val="000000"/>
          <w:sz w:val="24"/>
          <w:szCs w:val="24"/>
          <w:rFonts w:ascii="Times New Roman" w:eastAsia="SimSun"/>
        </w:rPr>
        <w:t xml:space="preserve">用 PostgreSQL 自带全文检索实现卷宗搜索，中文采用分词扩展，自部署单实例加装扩展即可，坚决不引入独立搜索引擎。文档增加抽取文本层：文字处理文档服务端抽取纯文本，扫描件走已有识别服务并落库；检索层必须复用案件可见性同一套过滤，识别文本、缩略图等派生内容继承源对象权限并在撤权后失效。在此基础上，将文书审查历史与类案检索存档在案件详情内展示，并允许升格为所级共享，形成轻量知识库。</w:t>
      </w:r>
    </w:p>
    <w:p>
      <w:pPr>
        <w:pStyle w:val="Heading2"/>
        <w:keepNext/>
        <w:spacing w:before="280" w:after="120" w:line="350" w:lineRule="atLeast"/>
      </w:pPr>
      <w:bookmarkStart w:id="100019" w:name="_Toc100019"/>
      <w:r>
        <w:rPr>
          <w:b/>
          <w:bCs/>
          <w:color w:val="2A4A3A"/>
          <w:sz w:val="28"/>
          <w:szCs w:val="28"/>
          <w:rFonts w:ascii="Times New Roman" w:eastAsia="SimHei"/>
        </w:rPr>
        <w:t xml:space="preserve">5.4 计费与财务（A08，重评 C05）</w:t>
      </w:r>
      <w:bookmarkEnd w:id="100019"/>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LawLink 明确不做通用计时收费，该取舍符合定位，应保留。但代码核实发现两处纪律缺口：其一，结算单与收付流水之间无快照保护，流水金额在结算确认后仍可修改，历史口径会随源数据漂移；其二，合同与流水的更正方式是物理删除后重录（C05），一旦单据已对外或已对账，删除即留下缺口。</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近期（P0）先做两件小事——结算单确认后锁定关联流水编辑；核查客户编号与案号发号是否为先查最大值再插入的并发不安全写法。中期（P1）将财务模型从可删流水升级为核销模型：应收、实收、分配（一次收款核销多项应收）与冲正（退款、折让等带原因的关联记录）分离，已确认款项禁止物理删除；分成计算固定规则与基数快照，规则变化不重写历史。预收与代收代付先做轻量子账，遵循余额不为负、用途必填、划转留凭证三条纪律，不照搬文章的境外信托三向对账全套。</w:t>
      </w:r>
    </w:p>
    <w:p>
      <w:pPr>
        <w:pStyle w:val="Heading2"/>
        <w:keepNext/>
        <w:spacing w:before="280" w:after="120" w:line="350" w:lineRule="atLeast"/>
      </w:pPr>
      <w:bookmarkStart w:id="100020" w:name="_Toc100020"/>
      <w:r>
        <w:rPr>
          <w:b/>
          <w:bCs/>
          <w:color w:val="2A4A3A"/>
          <w:sz w:val="28"/>
          <w:szCs w:val="28"/>
          <w:rFonts w:ascii="Times New Roman" w:eastAsia="SimHei"/>
        </w:rPr>
        <w:t xml:space="preserve">5.5 期限与提醒（A09）</w:t>
      </w:r>
      <w:bookmarkEnd w:id="100020"/>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期限规则库带法条出处与核验戳，设计领先于文章的期限类型字典；但期限实体只有到期日与单一提醒天数（数据库已核实），没有起算日、来源规则引用与人工修正标记，规则重算或补录可能覆盖人工调整过的期限。通知渠道仅有站内信、即时通讯群机器人每日汇总与日历订阅，无个人级邮件提醒，无逾期升级。调度器注释自认进程重启可能错过触发时点（C04）。</w:t>
      </w:r>
    </w:p>
    <w:p>
      <w:pPr>
        <w:spacing w:line="312" w:after="60"/>
        <w:ind w:firstLine="480"/>
        <w:jc w:val="both"/>
      </w:pPr>
      <w:r>
        <w:rPr>
          <w:b/>
          <w:bCs/>
          <w:color w:val="000000"/>
          <w:sz w:val="24"/>
          <w:szCs w:val="24"/>
          <w:rFonts w:ascii="Times New Roman" w:eastAsia="SimSun"/>
        </w:rPr>
        <w:t xml:space="preserve">建议（P0 加 P1）：</w:t>
      </w:r>
      <w:r>
        <w:rPr>
          <w:b w:val="false"/>
          <w:bCs w:val="false"/>
          <w:color w:val="000000"/>
          <w:sz w:val="24"/>
          <w:szCs w:val="24"/>
          <w:rFonts w:ascii="Times New Roman" w:eastAsia="SimSun"/>
        </w:rPr>
        <w:t xml:space="preserve">期限实体增加来源规则引用与人工修正标记，修正后禁止规则重算覆盖；补齐挂账的规则管理界面。提醒采用三档裁剪版阶梯：提前提醒天数到点走站内与群机器人、到期当日单独再发一条、逾期未完成升级通知团队负责人（团队负责人概念已存在，闭环是现成的）。推送可靠性随 P1 的后台执行器一并解决：失败可见、可重试、可补发。</w:t>
      </w:r>
    </w:p>
    <w:p>
      <w:pPr>
        <w:pStyle w:val="Heading2"/>
        <w:keepNext/>
        <w:spacing w:before="280" w:after="120" w:line="350" w:lineRule="atLeast"/>
      </w:pPr>
      <w:bookmarkStart w:id="100021" w:name="_Toc100021"/>
      <w:r>
        <w:rPr>
          <w:b/>
          <w:bCs/>
          <w:color w:val="2A4A3A"/>
          <w:sz w:val="28"/>
          <w:szCs w:val="28"/>
          <w:rFonts w:ascii="Times New Roman" w:eastAsia="SimHei"/>
        </w:rPr>
        <w:t xml:space="preserve">5.6 权限与安全（A12/13，重评 C03/C07）</w:t>
      </w:r>
      <w:bookmarkEnd w:id="100021"/>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权限体系（三层角色、按事项审批、团队只读、冲突检索最小披露）整体领先于文章模型。安全侧经核实存在三处底线缺口：客户证件号明文入库；登录无失败锁定、无双步验证，实例暴露公网时这是最先被打的面；文书审查入口仅当文档归属案件时才执行案件级访问断言（C07），收案材料分支与外部识别处理的授权需专项核验——这是核验任务，不预设已发生泄露。</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P0 实施登录失败临时锁定与可选的一次性口令双步验证（管理员账号可强制），并对人工智能各入口做权限矩阵专项核验，按文章的越权自测清单补一组端到端权限回归用例（最小权限账号直调他人案件接口、无导出权走导出接口、过期账号重放）。P1 实施证件号加密存储加散列盲索引（支持查重与冲突匹配的等值检索），附件下载与档案导出加水印，建立密钥版本字段并文档化轮换流程，将“字段、加密等级、可访问角色”矩阵写入数据模型文档。</w:t>
      </w:r>
    </w:p>
    <w:p>
      <w:pPr>
        <w:pStyle w:val="Heading2"/>
        <w:keepNext/>
        <w:spacing w:before="280" w:after="120" w:line="350" w:lineRule="atLeast"/>
      </w:pPr>
      <w:bookmarkStart w:id="100022" w:name="_Toc100022"/>
      <w:r>
        <w:rPr>
          <w:b/>
          <w:bCs/>
          <w:color w:val="2A4A3A"/>
          <w:sz w:val="28"/>
          <w:szCs w:val="28"/>
          <w:rFonts w:ascii="Times New Roman" w:eastAsia="SimHei"/>
        </w:rPr>
        <w:t xml:space="preserve">5.7 集成与外部同步（A14）</w:t>
      </w:r>
      <w:bookmarkEnd w:id="100022"/>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外部依赖少（开放平台按次计费调用、群机器人推送、日历订阅），文章的幂等表、死信区、全量对账全套现阶段属于过度设计。但人工智能与外部调用无统一台账：发票识别、文书审查、案由推荐各自为政，按次计费的消耗与失败均不可见。</w:t>
      </w:r>
    </w:p>
    <w:p>
      <w:pPr>
        <w:spacing w:line="312" w:after="60"/>
        <w:ind w:firstLine="480"/>
        <w:jc w:val="both"/>
      </w:pPr>
      <w:r>
        <w:rPr>
          <w:b/>
          <w:bCs/>
          <w:color w:val="000000"/>
          <w:sz w:val="24"/>
          <w:szCs w:val="24"/>
          <w:rFonts w:ascii="Times New Roman" w:eastAsia="SimSun"/>
        </w:rPr>
        <w:t xml:space="preserve">建议（P1）：</w:t>
      </w:r>
      <w:r>
        <w:rPr>
          <w:b w:val="false"/>
          <w:bCs w:val="false"/>
          <w:color w:val="000000"/>
          <w:sz w:val="24"/>
          <w:szCs w:val="24"/>
          <w:rFonts w:ascii="Times New Roman" w:eastAsia="SimSun"/>
        </w:rPr>
        <w:t xml:space="preserve">建立统一的外部调用日志表（服务、接口、耗时、点数消耗、成败、重试次数），设置页展示月度消耗；为未来接入日历或邮件通道预留幂等键与重试骨架，不预先建设完整同步框架。法院短信解析收件箱是 LawLink 相对文章模型的差异化能力（文章亦将法院电子送达收入系统视为头部产品方向），应继续深耕更多短信模板的解析覆盖。</w:t>
      </w:r>
    </w:p>
    <w:p>
      <w:pPr>
        <w:pStyle w:val="Heading2"/>
        <w:keepNext/>
        <w:spacing w:before="280" w:after="120" w:line="350" w:lineRule="atLeast"/>
      </w:pPr>
      <w:bookmarkStart w:id="100023" w:name="_Toc100023"/>
      <w:r>
        <w:rPr>
          <w:b/>
          <w:bCs/>
          <w:color w:val="2A4A3A"/>
          <w:sz w:val="28"/>
          <w:szCs w:val="28"/>
          <w:rFonts w:ascii="Times New Roman" w:eastAsia="SimHei"/>
        </w:rPr>
        <w:t xml:space="preserve">5.8 案件生命周期与架构（A05/10）</w:t>
      </w:r>
      <w:bookmarkEnd w:id="100023"/>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状态机、统一审批与归档三事实分离（勾选、文件存在、审批人核准互不推断）比文章的归档完整性检查更严格；模块化单体加关系数据库的架构与文章的务实结论一致，不需要引入消息队列、缓存中间件或微服务。挂账的“时间线与审计日志双写待统一入口”正是文章强调的状态迁移与审计同事务、单一来源原则，应优先清偿。</w:t>
      </w:r>
    </w:p>
    <w:p>
      <w:pPr>
        <w:pStyle w:val="Heading1"/>
        <w:keepNext/>
        <w:spacing w:before="400" w:after="180" w:line="380" w:lineRule="atLeast"/>
      </w:pPr>
      <w:bookmarkStart w:id="100024" w:name="_Toc100024"/>
      <w:r>
        <w:rPr>
          <w:b/>
          <w:bCs/>
          <w:color w:val="2A4A3A"/>
          <w:sz w:val="32"/>
          <w:szCs w:val="32"/>
          <w:rFonts w:ascii="Times New Roman" w:eastAsia="SimHei"/>
        </w:rPr>
        <w:t xml:space="preserve">第六章  领域模型演进方向</w:t>
      </w:r>
      <w:bookmarkEnd w:id="100024"/>
    </w:p>
    <w:p>
      <w:pPr>
        <w:pStyle w:val="Heading2"/>
        <w:keepNext/>
        <w:spacing w:before="280" w:after="120" w:line="350" w:lineRule="atLeast"/>
      </w:pPr>
      <w:bookmarkStart w:id="100025" w:name="_Toc100025"/>
      <w:r>
        <w:rPr>
          <w:b/>
          <w:bCs/>
          <w:color w:val="2A4A3A"/>
          <w:sz w:val="28"/>
          <w:szCs w:val="28"/>
          <w:rFonts w:ascii="Times New Roman" w:eastAsia="SimHei"/>
        </w:rPr>
        <w:t xml:space="preserve">6.1 重评报告证据核查结论</w:t>
      </w:r>
      <w:bookmarkEnd w:id="100025"/>
    </w:p>
    <w:p>
      <w:pPr>
        <w:spacing w:line="312" w:after="60"/>
        <w:ind w:firstLine="480"/>
        <w:jc w:val="both"/>
      </w:pPr>
      <w:r>
        <w:rPr>
          <w:b w:val="false"/>
          <w:bCs w:val="false"/>
          <w:color w:val="000000"/>
          <w:sz w:val="24"/>
          <w:szCs w:val="24"/>
          <w:rFonts w:ascii="Times New Roman" w:eastAsia="SimSun"/>
        </w:rPr>
        <w:t xml:space="preserve">重评报告引用的七处代码证据已逐条复核，全部属实，核查明细见附录 B。其中影响最大的是三点：案件实体语义混同（C01）、调度可靠性边界（C04）与财务物理删除（C05）。据此，本报告接受重评报告的目标模型方向，但将其转译为下文的增量演进路径。</w:t>
      </w:r>
    </w:p>
    <w:p>
      <w:pPr>
        <w:pStyle w:val="Heading2"/>
        <w:keepNext/>
        <w:spacing w:before="280" w:after="120" w:line="350" w:lineRule="atLeast"/>
      </w:pPr>
      <w:bookmarkStart w:id="100026" w:name="_Toc100026"/>
      <w:r>
        <w:rPr>
          <w:b/>
          <w:bCs/>
          <w:color w:val="2A4A3A"/>
          <w:sz w:val="28"/>
          <w:szCs w:val="28"/>
          <w:rFonts w:ascii="Times New Roman" w:eastAsia="SimHei"/>
        </w:rPr>
        <w:t xml:space="preserve">6.2 五对象目标模型</w:t>
      </w:r>
      <w:bookmarkEnd w:id="100026"/>
    </w:p>
    <w:p>
      <w:pPr>
        <w:spacing w:line="312" w:after="60"/>
        <w:ind w:firstLine="480"/>
        <w:jc w:val="both"/>
      </w:pPr>
      <w:r>
        <w:rPr>
          <w:b w:val="false"/>
          <w:bCs w:val="false"/>
          <w:color w:val="000000"/>
          <w:sz w:val="24"/>
          <w:szCs w:val="24"/>
          <w:rFonts w:ascii="Times New Roman" w:eastAsia="SimSun"/>
        </w:rPr>
        <w:t xml:space="preserve">目标模型将业务对象明确为五类：主体（人与机构的归一身份）、委托（为何服务、为谁服务、服务到何处，含范围与有效期）、工作事项（正在解决什么问题，权限与日常组织的默认单元）、程序（在哪个机构、哪个阶段、以什么角色处理）与材料版本（不可覆盖的证据与文书版本）。其余对象围绕它们建立有类型的关联。</w:t>
      </w:r>
    </w:p>
    <w:p>
      <w:pPr>
        <w:spacing w:line="312" w:after="60"/>
        <w:ind w:firstLine="480"/>
        <w:jc w:val="both"/>
      </w:pPr>
      <w:r>
        <w:rPr>
          <w:b w:val="false"/>
          <w:bCs w:val="false"/>
          <w:color w:val="000000"/>
          <w:sz w:val="24"/>
          <w:szCs w:val="24"/>
          <w:rFonts w:ascii="Times New Roman" w:eastAsia="SimSun"/>
        </w:rPr>
        <w:t xml:space="preserve">迁移分两步：第一批仅新增委托对象并挂接现有案件实体，不改页面语义；第二步将案件中属于委托、程序与主张的字段逐步搬出，把案件实体重定义为工作事项。程序是否升级为全局共享实体，应由多委托同程序的真实样本决定，默认不因共享案号自动合并正文。模型是否成立，以下列六个样例为验收门槛：</w:t>
      </w:r>
    </w:p>
    <w:p>
      <w:pPr>
        <w:pStyle w:val="ListParagraph"/>
        <w:numPr>
          <w:ilvl w:val="0"/>
          <w:numId w:val="3"/>
        </w:numPr>
        <w:spacing w:line="312" w:after="40"/>
        <w:jc w:val="both"/>
      </w:pPr>
      <w:r>
        <w:rPr>
          <w:b w:val="false"/>
          <w:bCs w:val="false"/>
          <w:color w:val="000000"/>
          <w:sz w:val="24"/>
          <w:szCs w:val="24"/>
          <w:rFonts w:ascii="Times New Roman" w:eastAsia="SimSun"/>
        </w:rPr>
        <w:t xml:space="preserve">一份委托覆盖多个工作事项；</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一个事项涉及多个程序但仅承办其中一段；</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程序发回重审后事实与角色发生变化；</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同一主体在某案是客户、在另一案是对方当事人；</w:t>
      </w:r>
    </w:p>
    <w:p>
      <w:pPr>
        <w:pStyle w:val="ListParagraph"/>
        <w:numPr>
          <w:ilvl w:val="0"/>
          <w:numId w:val="3"/>
        </w:numPr>
        <w:spacing w:line="312" w:after="40"/>
        <w:jc w:val="both"/>
      </w:pPr>
      <w:r>
        <w:rPr>
          <w:b w:val="false"/>
          <w:bCs w:val="false"/>
          <w:color w:val="000000"/>
          <w:sz w:val="24"/>
          <w:szCs w:val="24"/>
          <w:rFonts w:ascii="Times New Roman" w:eastAsia="SimSun"/>
        </w:rPr>
        <w:t xml:space="preserve">委托终止但仍有未结款项；</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程序已结束但服务尚未完成。</w:t>
      </w:r>
    </w:p>
    <w:p>
      <w:pPr>
        <w:pStyle w:val="Heading2"/>
        <w:keepNext/>
        <w:spacing w:before="280" w:after="120" w:line="350" w:lineRule="atLeast"/>
      </w:pPr>
      <w:bookmarkStart w:id="100027" w:name="_Toc100027"/>
      <w:r>
        <w:rPr>
          <w:b/>
          <w:bCs/>
          <w:color w:val="2A4A3A"/>
          <w:sz w:val="28"/>
          <w:szCs w:val="28"/>
          <w:rFonts w:ascii="Times New Roman" w:eastAsia="SimHei"/>
        </w:rPr>
        <w:t xml:space="preserve">6.3 材料出处链与事实观点分离</w:t>
      </w:r>
      <w:bookmarkEnd w:id="100027"/>
    </w:p>
    <w:p>
      <w:pPr>
        <w:spacing w:line="312" w:after="60"/>
        <w:ind w:firstLine="480"/>
        <w:jc w:val="both"/>
      </w:pPr>
      <w:r>
        <w:rPr>
          <w:b w:val="false"/>
          <w:bCs w:val="false"/>
          <w:color w:val="000000"/>
          <w:sz w:val="24"/>
          <w:szCs w:val="24"/>
          <w:rFonts w:ascii="Times New Roman" w:eastAsia="SimSun"/>
        </w:rPr>
        <w:t xml:space="preserve">材料不应仅是案件下的一组文件。目标结构至少区分：原始载体、逻辑文档、不可覆盖版本、页段或音视频时间段、人工形成的证据项，以及固定范围的交付包。页码须区分物理页、材料自身页码与汇编连续页码，三者不得混为一个数字。事实与观点分开记录：材料直接内容、当事人主张、工作人员分析、争议问题与待核事项逐条引用来源；关系数据库足以承载第一阶段，不因画出关系图而引入图数据库。对外交付的证据目录与文书是确定时点的成果版本，应固定引用材料、排序、页码与操作人，原材料或判断变更时标出受影响的成果并要求复核。</w:t>
      </w:r>
    </w:p>
    <w:p>
      <w:pPr>
        <w:pStyle w:val="Heading2"/>
        <w:keepNext/>
        <w:spacing w:before="280" w:after="120" w:line="350" w:lineRule="atLeast"/>
      </w:pPr>
      <w:bookmarkStart w:id="100028" w:name="_Toc100028"/>
      <w:r>
        <w:rPr>
          <w:b/>
          <w:bCs/>
          <w:color w:val="2A4A3A"/>
          <w:sz w:val="28"/>
          <w:szCs w:val="28"/>
          <w:rFonts w:ascii="Times New Roman" w:eastAsia="SimHei"/>
        </w:rPr>
        <w:t xml:space="preserve">6.4 状态轴分离与三个时钟</w:t>
      </w:r>
      <w:bookmarkEnd w:id="100028"/>
    </w:p>
    <w:p>
      <w:pPr>
        <w:spacing w:line="312" w:after="60"/>
        <w:ind w:firstLine="480"/>
        <w:jc w:val="both"/>
      </w:pPr>
      <w:r>
        <w:rPr>
          <w:b w:val="false"/>
          <w:bCs w:val="false"/>
          <w:color w:val="000000"/>
          <w:sz w:val="24"/>
          <w:szCs w:val="24"/>
          <w:rFonts w:ascii="Times New Roman" w:eastAsia="SimSun"/>
        </w:rPr>
        <w:t xml:space="preserve">程序进展、委托服务、任务执行、审阅批准与材料完备程度是五条相关但不等同的状态轴：程序已结不等于收费结清，收款完成不等于服务完成，材料已上传不等于证据已核验。文章的串行生命周期适合概览，不宜作为强制状态机。时间维度保留三个时钟：外部程序的发生时间、本所实际知悉或处理时间、系统记录时间，避免把上传日期当作形成日期、把系统结案当作法院审结。</w:t>
      </w:r>
    </w:p>
    <w:p>
      <w:pPr>
        <w:pStyle w:val="Heading2"/>
        <w:keepNext/>
        <w:spacing w:before="280" w:after="120" w:line="350" w:lineRule="atLeast"/>
      </w:pPr>
      <w:bookmarkStart w:id="100029" w:name="_Toc100029"/>
      <w:r>
        <w:rPr>
          <w:b/>
          <w:bCs/>
          <w:color w:val="2A4A3A"/>
          <w:sz w:val="28"/>
          <w:szCs w:val="28"/>
          <w:rFonts w:ascii="Times New Roman" w:eastAsia="SimHei"/>
        </w:rPr>
        <w:t xml:space="preserve">6.5 可靠性工程</w:t>
      </w:r>
      <w:bookmarkEnd w:id="100029"/>
    </w:p>
    <w:p>
      <w:pPr>
        <w:spacing w:line="312" w:after="60"/>
        <w:ind w:firstLine="480"/>
        <w:jc w:val="both"/>
      </w:pPr>
      <w:r>
        <w:rPr>
          <w:b w:val="false"/>
          <w:bCs w:val="false"/>
          <w:color w:val="000000"/>
          <w:sz w:val="24"/>
          <w:szCs w:val="24"/>
          <w:rFonts w:ascii="Times New Roman" w:eastAsia="SimSun"/>
        </w:rPr>
        <w:t xml:space="preserve">以数据库队列实现独立后台执行器，承担提醒、识别、导出与同步任务：任务带租约、幂等标识、重试次数与死信归属；业务写入与待发事件在同一事务落库（事务性发件箱原则），发送失败单独补发、重复事件不重复生效、宕机后按计划补偿。网页成功、数据库提交、文件可读、外部发送成功分别记录状态，不以单一已完成字段概括全程。备份必须作为产品能力设计：版本化清单、数据库与文件的一致性边界、密钥恢复条件与隔离恢复演练；完整导出同时给人可读目录与机器可读关系，用户离开系统后仍能理解自己的成果。</w:t>
      </w:r>
    </w:p>
    <w:p>
      <w:pPr>
        <w:pStyle w:val="Heading2"/>
        <w:keepNext/>
        <w:spacing w:before="280" w:after="120" w:line="350" w:lineRule="atLeast"/>
      </w:pPr>
      <w:bookmarkStart w:id="100030" w:name="_Toc100030"/>
      <w:r>
        <w:rPr>
          <w:b/>
          <w:bCs/>
          <w:color w:val="2A4A3A"/>
          <w:sz w:val="28"/>
          <w:szCs w:val="28"/>
          <w:rFonts w:ascii="Times New Roman" w:eastAsia="SimHei"/>
        </w:rPr>
        <w:t xml:space="preserve">6.6 演进而非重写</w:t>
      </w:r>
      <w:bookmarkEnd w:id="100030"/>
    </w:p>
    <w:p>
      <w:pPr>
        <w:spacing w:line="312" w:after="60"/>
        <w:ind w:firstLine="480"/>
        <w:jc w:val="both"/>
      </w:pPr>
      <w:r>
        <w:rPr>
          <w:b w:val="false"/>
          <w:bCs w:val="false"/>
          <w:color w:val="000000"/>
          <w:sz w:val="24"/>
          <w:szCs w:val="24"/>
          <w:rFonts w:ascii="Times New Roman" w:eastAsia="SimSun"/>
        </w:rPr>
        <w:t xml:space="preserve">是否更大范围重写，由两条纵向样例的验收决定：样例一为收到图文材料、形成证据项、生成目录与提交包、修改材料后旧成果保持不变；样例二为收到期限触发材料、人工确认、生成提醒、模拟宕机与发送失败后恢复并留痕。现有代码若能隔离出领域核心并通过样例，则替换对应模块即可；若到处需要维持双套事实才能通过，再评估新建目标核心。结论的敏感性：若产品转向跨所平台运营，需重新论证多租户与运营体系；若长期离线成为首要条件，本地优先路线将胜过当前推荐；若公开接口与原生客户端成为主要写入方，独立业务接口层应升为首选架构。</w:t>
      </w:r>
    </w:p>
    <w:p>
      <w:pPr>
        <w:pStyle w:val="Heading1"/>
        <w:keepNext/>
        <w:spacing w:before="400" w:after="180" w:line="380" w:lineRule="atLeast"/>
      </w:pPr>
      <w:bookmarkStart w:id="100031" w:name="_Toc100031"/>
      <w:r>
        <w:rPr>
          <w:b/>
          <w:bCs/>
          <w:color w:val="2A4A3A"/>
          <w:sz w:val="32"/>
          <w:szCs w:val="32"/>
          <w:rFonts w:ascii="Times New Roman" w:eastAsia="SimHei"/>
        </w:rPr>
        <w:t xml:space="preserve">第七章  改进路线图</w:t>
      </w:r>
      <w:bookmarkEnd w:id="100031"/>
    </w:p>
    <w:p>
      <w:pPr>
        <w:spacing w:line="312" w:after="60"/>
        <w:ind w:firstLine="480"/>
        <w:jc w:val="both"/>
      </w:pPr>
      <w:r>
        <w:rPr>
          <w:b w:val="false"/>
          <w:bCs w:val="false"/>
          <w:color w:val="000000"/>
          <w:sz w:val="24"/>
          <w:szCs w:val="24"/>
          <w:rFonts w:ascii="Times New Roman" w:eastAsia="SimSun"/>
        </w:rPr>
        <w:t xml:space="preserve">路线图分三层：P0 为低成本高收益的底线补强，建议一至两周内完成；P1 为结构性强化，一至两个月量级；P2 为目标形态演进，验收驱动、不设固定工期。每一项均标注依据与验收要点，便于逐项核销。</w:t>
      </w:r>
    </w:p>
    <w:p>
      <w:pPr>
        <w:keepNext/>
        <w:spacing w:before="240" w:after="80" w:line="312"/>
        <w:jc w:val="center"/>
      </w:pPr>
      <w:r>
        <w:rPr>
          <w:b/>
          <w:bCs/>
          <w:color w:val="2A4A3A"/>
          <w:sz w:val="21"/>
          <w:szCs w:val="21"/>
          <w:rFonts w:ascii="Times New Roman" w:eastAsia="SimHei"/>
        </w:rPr>
        <w:t xml:space="preserve">表 7-1  P0 底线补强清单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2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客户主数据查重与合并（证件类型、复合唯一、三入口查重）</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A02/06/11；数据库核实</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三个入口拦截重复建档；唯一约束生效；合并留审计</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文档文本层与数据库全文检索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A07</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全文命中且复用案件权限过滤；扫描件识别文本可检索</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登录失败锁定与可选双步验证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连续失败锁定生效；管理员账号可强制双步验证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人工智能入口权限专项核验与越权回归用例</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C07；A12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收案材料分支有明确结论；越权路径用例全部拦截</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期限出身与人工修正保护、规则管理界面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A09；挂账项</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人工修正后不被规则重算覆盖；规则可增删改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财务快照纪律与发号并发核查</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结算确认后流水锁定；并发发号不重号</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群机器人推送状态可见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设置页可见最近投递结果与失败原因</w:t>
            </w:r>
          </w:p>
        </w:tc>
      </w:tr>
    </w:tbl>
    <w:p>
      <w:pPr>
        <w:keepNext/>
        <w:spacing w:before="240" w:after="80" w:line="312"/>
        <w:jc w:val="center"/>
      </w:pPr>
      <w:r>
        <w:rPr>
          <w:b/>
          <w:bCs/>
          <w:color w:val="2A4A3A"/>
          <w:sz w:val="21"/>
          <w:szCs w:val="21"/>
          <w:rFonts w:ascii="Times New Roman" w:eastAsia="SimHei"/>
        </w:rPr>
        <w:t xml:space="preserve">表 7-2  P1 结构强化清单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依据与要点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后台执行器分离（数据库队列、租约、幂等、死信）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C04；A09/14；解决错过触发与失败静默</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财务核销模型（应收、实收、分配、冲正分离）</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C05；A08；已确认款项禁止物理删除</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派生内容权限继承与撤权失效</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重评；A07；索引、缩略图继承源权限</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证件号加密与盲索引</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A11/13；支持查重与冲突等值检索</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提醒三档阶梯与逾期升级负责人</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A09；依赖 P1 后台执行器</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人工智能审查分段处理与审查历史展示</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C06；A07；突破六千字符上限，审查记录可回看</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关联案件增加关系类型、方向与时间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C01；为 P2 程序共享铺路</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附件下载与档案导出水印</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A12；与脱敏、审计构成三叠加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外部调用台账与成本可见</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A14；月度消耗与失败率可见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部署者文档三件套（恢复演练、升级、数据分级）</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A03/04；自部署产品成熟度</w:t>
            </w:r>
          </w:p>
        </w:tc>
      </w:tr>
    </w:tbl>
    <w:p>
      <w:pPr>
        <w:keepNext/>
        <w:spacing w:before="240" w:after="80" w:line="312"/>
        <w:jc w:val="center"/>
      </w:pPr>
      <w:r>
        <w:rPr>
          <w:b/>
          <w:bCs/>
          <w:color w:val="2A4A3A"/>
          <w:sz w:val="21"/>
          <w:szCs w:val="21"/>
          <w:rFonts w:ascii="Times New Roman" w:eastAsia="SimHei"/>
        </w:rPr>
        <w:t xml:space="preserve">表 7-3  P2 目标形态演进清单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方向</w:t>
            </w:r>
          </w:p>
        </w:tc>
        <w:tc>
          <w:tcPr>
            <w:tcW w:type="pct" w:w="3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内容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前置条件</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五对象模型</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新增委托对象并挂接，逐步把案件重定义为工作事项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制度确认；两步迁移方案评审</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六个样例全部通过</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材料出处链</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页级出处、三类页码、证据项与交付包固定</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P0 文本层完成</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成果绑定材料版本；每页有处理状态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状态轴分离</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五条状态轴与三个时钟落地</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样例验证</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程序、收费、服务、核验互不推断</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受控回传</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从事项直接打开文字处理文件并受控回传版本</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桌面连接器立项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回传成版本并记录编辑人与冲突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治理分级</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低影响动作自确认作为显式配置</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制度决策事项三通过</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高风险动作仍走现行审批</w:t>
            </w:r>
          </w:p>
        </w:tc>
      </w:tr>
    </w:tbl>
    <w:p>
      <w:pPr>
        <w:pStyle w:val="Heading1"/>
        <w:keepNext/>
        <w:spacing w:before="400" w:after="180" w:line="380" w:lineRule="atLeast"/>
      </w:pPr>
      <w:bookmarkStart w:id="100032" w:name="_Toc100032"/>
      <w:r>
        <w:rPr>
          <w:b/>
          <w:bCs/>
          <w:color w:val="2A4A3A"/>
          <w:sz w:val="32"/>
          <w:szCs w:val="32"/>
          <w:rFonts w:ascii="Times New Roman" w:eastAsia="SimHei"/>
        </w:rPr>
        <w:t xml:space="preserve">第八章  制度级决策事项</w:t>
      </w:r>
      <w:bookmarkEnd w:id="100032"/>
    </w:p>
    <w:p>
      <w:pPr>
        <w:spacing w:line="312" w:after="60"/>
        <w:ind w:firstLine="480"/>
        <w:jc w:val="both"/>
      </w:pPr>
      <w:r>
        <w:rPr>
          <w:b w:val="false"/>
          <w:bCs w:val="false"/>
          <w:color w:val="000000"/>
          <w:sz w:val="24"/>
          <w:szCs w:val="24"/>
          <w:rFonts w:ascii="Times New Roman" w:eastAsia="SimSun"/>
        </w:rPr>
        <w:t xml:space="preserve">重评报告有三处建议与工作区制度文件 AGENTS.md 已确认的设计直接冲突。按照工作区规则“规则与实践冲突时，先改本文件、再改代码”，以下事项须先由决策者裁定并修订制度文件，方可进入实施；本报告对每处给出折中立场，供决策参考。</w:t>
      </w:r>
    </w:p>
    <w:p>
      <w:pPr>
        <w:keepNext/>
        <w:spacing w:before="240" w:after="80" w:line="312"/>
        <w:jc w:val="center"/>
      </w:pPr>
      <w:r>
        <w:rPr>
          <w:b/>
          <w:bCs/>
          <w:color w:val="2A4A3A"/>
          <w:sz w:val="21"/>
          <w:szCs w:val="21"/>
          <w:rFonts w:ascii="Times New Roman" w:eastAsia="SimHei"/>
        </w:rPr>
        <w:t xml:space="preserve">表 8-1  制度级决策清单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2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现行制度（出处）</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重评主张</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本报告立场</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团队历史访问默认</w:t>
            </w:r>
          </w:p>
        </w:tc>
        <w:tc>
          <w:tcPr>
            <w:tcW w:type="pct" w:w="2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团队负责人自动查看团队成员原始立案或当前主办的全部案件（2026 年 9 月 6 日确认）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改为案件明确授权，团队仅作分配便利，限制优先</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不推翻现行默认；为案件增加受限标记（禁止团队继承、限制财务与材料共享），并将撤权后的存量访问纳入复核提示</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建号必传证件照片</w:t>
            </w:r>
          </w:p>
        </w:tc>
        <w:tc>
          <w:tcPr>
            <w:tcW w:type="pct" w:w="2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管理员新增用户必须登记证件类型、号码并上传至少一张证件照片（个人身份章节）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账号开通与证件采集解耦，按用途启用</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增设受限协作账号类型与实名账号并存，满足外部专家等纯协作场景；现有实名账号默认不动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普遍按事项审批</w:t>
            </w:r>
          </w:p>
        </w:tc>
        <w:tc>
          <w:tcPr>
            <w:tcW w:type="pct" w:w="2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所有账号统一按事项授权，系统管理身份不提供审批捷径（按事项审批章节）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按风险分级，低影响动作免审批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在既有单人执业例外基础上，将低影响动作自确认做成管理后台显式配置项；法定代表人章等高风险约束维持现行审批</w:t>
            </w:r>
          </w:p>
        </w:tc>
      </w:tr>
    </w:tbl>
    <w:p>
      <w:pPr>
        <w:spacing w:line="312" w:after="60"/>
        <w:ind w:firstLine="480"/>
        <w:jc w:val="both"/>
      </w:pPr>
      <w:r>
        <w:rPr>
          <w:b w:val="false"/>
          <w:bCs w:val="false"/>
          <w:color w:val="000000"/>
          <w:sz w:val="24"/>
          <w:szCs w:val="24"/>
          <w:rFonts w:ascii="Times New Roman" w:eastAsia="SimSun"/>
        </w:rPr>
        <w:t xml:space="preserve">三项均属制度选择而非工程缺陷：现行设计各有明确的合规与风控理由，重评报告的关切（历史访问扩散、证件最小化、流程负担）同样真实。折中立场的选择标准是：不推翻已确认的风控底线，以最小增量吸收重评报告的合理关切。</w:t>
      </w:r>
    </w:p>
    <w:p>
      <w:pPr>
        <w:pStyle w:val="Heading1"/>
        <w:keepNext/>
        <w:spacing w:before="400" w:after="180" w:line="380" w:lineRule="atLeast"/>
      </w:pPr>
      <w:bookmarkStart w:id="100033" w:name="_Toc100033"/>
      <w:r>
        <w:rPr>
          <w:b/>
          <w:bCs/>
          <w:color w:val="2A4A3A"/>
          <w:sz w:val="32"/>
          <w:szCs w:val="32"/>
          <w:rFonts w:ascii="Times New Roman" w:eastAsia="SimHei"/>
        </w:rPr>
        <w:t xml:space="preserve">第九章  明确不做与暂缓清单</w:t>
      </w:r>
      <w:bookmarkEnd w:id="100033"/>
    </w:p>
    <w:p>
      <w:pPr>
        <w:spacing w:line="312" w:after="60"/>
        <w:ind w:firstLine="480"/>
        <w:jc w:val="both"/>
      </w:pPr>
      <w:r>
        <w:rPr>
          <w:b w:val="false"/>
          <w:bCs w:val="false"/>
          <w:color w:val="000000"/>
          <w:sz w:val="24"/>
          <w:szCs w:val="24"/>
          <w:rFonts w:ascii="Times New Roman" w:eastAsia="SimSun"/>
        </w:rPr>
        <w:t xml:space="preserve">为防止改进过程滑向大所级重功能路线，以下事项明确不做或设触发条件后暂缓。判断依据统一为：是否服务一至五人小所的真实工作负荷，是否引入与收益不成比例的运维负担。</w:t>
      </w:r>
    </w:p>
    <w:p>
      <w:pPr>
        <w:keepNext/>
        <w:spacing w:before="240" w:after="80" w:line="312"/>
        <w:jc w:val="center"/>
      </w:pPr>
      <w:r>
        <w:rPr>
          <w:b/>
          <w:bCs/>
          <w:color w:val="2A4A3A"/>
          <w:sz w:val="21"/>
          <w:szCs w:val="21"/>
          <w:rFonts w:ascii="Times New Roman" w:eastAsia="SimHei"/>
        </w:rPr>
        <w:t xml:space="preserve">表 9-1  不做与暂缓清单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tblGrid>
      <w:tr>
        <w:trPr>
          <w:cantSplit/>
          <w:tblHeader/>
        </w:trPr>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理由</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全量重写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以两条纵向样例验收决定复用边界，默认增量演进；重评报告亦未证明重写工期更短</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微服务拆分</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无独立扩展边界诉求，跨服务一致性与运维成本高于收益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多租户与租户标识预留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单实例定位明确，预留字段将污染全部查询</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独立搜索引擎集群</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数据库自带中文全文检索足以覆盖小所数据规模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欧美电子账单标准（LEDES/UTBMS）</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服务跨境 e-billing 场景，国内小所无此合规压力</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日历双向同步（CalDAV）</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单向订阅已覆盖场景，冲突处理成本远超收益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工时双口径计时系统</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与按件收费定位冲突，保留轻量服务台账方向即可</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客户自动分级规则引擎</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销售管理机制过重，保留来源渠道统计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证物监管链全流程</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视所内物证保管需求再议，列为条件触发项</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离线优先架构</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仅长期断网刚需成立时触发，须接受同步取舍</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向量检索</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实测证明提升可核验召回后再引入，不以相似度冒充证明力</w:t>
            </w:r>
          </w:p>
        </w:tc>
      </w:tr>
    </w:tbl>
    <w:p>
      <w:pPr>
        <w:pStyle w:val="Heading1"/>
        <w:keepNext/>
        <w:spacing w:before="400" w:after="180" w:line="380" w:lineRule="atLeast"/>
      </w:pPr>
      <w:bookmarkStart w:id="100034" w:name="_Toc100034"/>
      <w:r>
        <w:rPr>
          <w:b/>
          <w:bCs/>
          <w:color w:val="2A4A3A"/>
          <w:sz w:val="32"/>
          <w:szCs w:val="32"/>
          <w:rFonts w:ascii="Times New Roman" w:eastAsia="SimHei"/>
        </w:rPr>
        <w:t xml:space="preserve">第十章  验收标准与风险提示</w:t>
      </w:r>
      <w:bookmarkEnd w:id="100034"/>
    </w:p>
    <w:p>
      <w:pPr>
        <w:pStyle w:val="Heading2"/>
        <w:keepNext/>
        <w:spacing w:before="280" w:after="120" w:line="350" w:lineRule="atLeast"/>
      </w:pPr>
      <w:bookmarkStart w:id="100035" w:name="_Toc100035"/>
      <w:r>
        <w:rPr>
          <w:b/>
          <w:bCs/>
          <w:color w:val="2A4A3A"/>
          <w:sz w:val="28"/>
          <w:szCs w:val="28"/>
          <w:rFonts w:ascii="Times New Roman" w:eastAsia="SimHei"/>
        </w:rPr>
        <w:t xml:space="preserve">10.1 分层验收门槛</w:t>
      </w:r>
      <w:bookmarkEnd w:id="100035"/>
    </w:p>
    <w:p>
      <w:pPr>
        <w:spacing w:line="312" w:after="60"/>
        <w:ind w:firstLine="480"/>
        <w:jc w:val="both"/>
      </w:pPr>
      <w:r>
        <w:rPr>
          <w:b w:val="false"/>
          <w:bCs w:val="false"/>
          <w:color w:val="000000"/>
          <w:sz w:val="24"/>
          <w:szCs w:val="24"/>
          <w:rFonts w:ascii="Times New Roman" w:eastAsia="SimSun"/>
        </w:rPr>
        <w:t xml:space="preserve">各层改进以统一验收门槛衡量，任一门槛未通过，不以功能数量抵销：</w:t>
      </w:r>
    </w:p>
    <w:p>
      <w:pPr>
        <w:pStyle w:val="ListParagraph"/>
        <w:numPr>
          <w:ilvl w:val="0"/>
          <w:numId w:val="4"/>
        </w:numPr>
        <w:spacing w:line="312" w:after="40"/>
        <w:jc w:val="both"/>
      </w:pPr>
      <w:r>
        <w:rPr>
          <w:b w:val="false"/>
          <w:bCs w:val="false"/>
          <w:color w:val="000000"/>
          <w:sz w:val="24"/>
          <w:szCs w:val="24"/>
          <w:rFonts w:ascii="Times New Roman" w:eastAsia="SimSun"/>
        </w:rPr>
        <w:t xml:space="preserve">权限矩阵跨入口统一检查，最小权限账号的越权路径全部被拦截；</w:t>
      </w:r>
    </w:p>
    <w:p>
      <w:pPr>
        <w:pStyle w:val="ListParagraph"/>
        <w:numPr>
          <w:ilvl w:val="0"/>
          <w:numId w:val="4"/>
        </w:numPr>
        <w:spacing w:line="312" w:after="40"/>
        <w:jc w:val="both"/>
      </w:pPr>
      <w:r>
        <w:rPr>
          <w:b w:val="false"/>
          <w:bCs w:val="false"/>
          <w:color w:val="000000"/>
          <w:sz w:val="24"/>
          <w:szCs w:val="24"/>
          <w:rFonts w:ascii="Times New Roman" w:eastAsia="SimSun"/>
        </w:rPr>
        <w:t xml:space="preserve">正式成果绑定材料版本与页码出处，原材料变更能标出受影响的成果；</w:t>
      </w:r>
    </w:p>
    <w:p>
      <w:pPr>
        <w:pStyle w:val="ListParagraph"/>
        <w:numPr>
          <w:ilvl w:val="0"/>
          <w:numId w:val="4"/>
        </w:numPr>
        <w:spacing w:line="312" w:after="40"/>
        <w:jc w:val="both"/>
      </w:pPr>
      <w:r>
        <w:rPr>
          <w:b w:val="false"/>
          <w:bCs w:val="false"/>
          <w:color w:val="000000"/>
          <w:sz w:val="24"/>
          <w:szCs w:val="24"/>
          <w:rFonts w:ascii="Times New Roman" w:eastAsia="SimSun"/>
        </w:rPr>
        <w:t xml:space="preserve">每页材料有明确处理状态，失败页不可隐去；</w:t>
      </w:r>
    </w:p>
    <w:p>
      <w:pPr>
        <w:pStyle w:val="ListParagraph"/>
        <w:numPr>
          <w:ilvl w:val="0"/>
          <w:numId w:val="4"/>
        </w:numPr>
        <w:spacing w:line="312" w:after="40"/>
        <w:jc w:val="both"/>
      </w:pPr>
      <w:r>
        <w:rPr>
          <w:b w:val="false"/>
          <w:bCs w:val="false"/>
          <w:color w:val="000000"/>
          <w:sz w:val="24"/>
          <w:szCs w:val="24"/>
          <w:rFonts w:ascii="Times New Roman" w:eastAsia="SimSun"/>
        </w:rPr>
        <w:t xml:space="preserve">改期取消旧提醒、外部发送失败可单独补发、重复事件不重复生效、任务宕机可接续；</w:t>
      </w:r>
    </w:p>
    <w:p>
      <w:pPr>
        <w:pStyle w:val="ListParagraph"/>
        <w:numPr>
          <w:ilvl w:val="0"/>
          <w:numId w:val="4"/>
        </w:numPr>
        <w:spacing w:line="312" w:after="40"/>
        <w:jc w:val="both"/>
      </w:pPr>
      <w:r>
        <w:rPr>
          <w:b w:val="false"/>
          <w:bCs w:val="false"/>
          <w:color w:val="000000"/>
          <w:sz w:val="24"/>
          <w:szCs w:val="24"/>
          <w:rFonts w:ascii="Times New Roman" w:eastAsia="SimSun"/>
        </w:rPr>
        <w:t xml:space="preserve">已确认款项无法物理删除，更正走带原因的关联冲正记录；</w:t>
      </w:r>
    </w:p>
    <w:p>
      <w:pPr>
        <w:pStyle w:val="ListParagraph"/>
        <w:numPr>
          <w:ilvl w:val="0"/>
          <w:numId w:val="4"/>
        </w:numPr>
        <w:spacing w:line="312" w:after="40"/>
        <w:jc w:val="both"/>
      </w:pPr>
      <w:r>
        <w:rPr>
          <w:b w:val="false"/>
          <w:bCs w:val="false"/>
          <w:color w:val="000000"/>
          <w:sz w:val="24"/>
          <w:szCs w:val="24"/>
          <w:rFonts w:ascii="Times New Roman" w:eastAsia="SimSun"/>
        </w:rPr>
        <w:t xml:space="preserve">授权撤销后派生索引不可继续命中；</w:t>
      </w:r>
    </w:p>
    <w:p>
      <w:pPr>
        <w:pStyle w:val="ListParagraph"/>
        <w:numPr>
          <w:ilvl w:val="0"/>
          <w:numId w:val="4"/>
        </w:numPr>
        <w:spacing w:line="312" w:after="40"/>
        <w:jc w:val="both"/>
      </w:pPr>
      <w:r>
        <w:rPr>
          <w:b w:val="false"/>
          <w:bCs w:val="false"/>
          <w:color w:val="000000"/>
          <w:sz w:val="24"/>
          <w:szCs w:val="24"/>
          <w:rFonts w:ascii="Times New Roman" w:eastAsia="SimSun"/>
        </w:rPr>
        <w:t xml:space="preserve">完整导出同时被人与机器理解，隔离恢复后可重建指定交付包。</w:t>
      </w:r>
    </w:p>
    <w:p>
      <w:pPr>
        <w:pStyle w:val="Heading2"/>
        <w:keepNext/>
        <w:spacing w:before="280" w:after="120" w:line="350" w:lineRule="atLeast"/>
      </w:pPr>
      <w:bookmarkStart w:id="100036" w:name="_Toc100036"/>
      <w:r>
        <w:rPr>
          <w:b/>
          <w:bCs/>
          <w:color w:val="2A4A3A"/>
          <w:sz w:val="28"/>
          <w:szCs w:val="28"/>
          <w:rFonts w:ascii="Times New Roman" w:eastAsia="SimHei"/>
        </w:rPr>
        <w:t xml:space="preserve">10.2 风险与敏感性</w:t>
      </w:r>
      <w:bookmarkEnd w:id="100036"/>
    </w:p>
    <w:p>
      <w:pPr>
        <w:spacing w:line="312" w:after="60"/>
        <w:ind w:firstLine="480"/>
        <w:jc w:val="both"/>
      </w:pPr>
      <w:r>
        <w:rPr>
          <w:b w:val="false"/>
          <w:bCs w:val="false"/>
          <w:color w:val="000000"/>
          <w:sz w:val="24"/>
          <w:szCs w:val="24"/>
          <w:rFonts w:ascii="Times New Roman" w:eastAsia="SimSun"/>
        </w:rPr>
        <w:t xml:space="preserve">风险有三。其一，定位漂移风险：P1、P2 若按大所叙事扩张，将背离产品定位并拖垮小团队维护能力，故第九章清单与路线图同样重要。其二，工程量风险：P2 的五对象模型与材料出处链是季度级工程，须以两个纵向样例先验证领域核心可行性，再决定复用或重建边界，不应未经样例验证即承诺工期。其三，制度未决风险：第八章三项决策未裁定前，对应建议不得实施，避免代码与制度再次脱节。</w:t>
      </w:r>
    </w:p>
    <w:p>
      <w:pPr>
        <w:spacing w:line="312" w:after="60"/>
        <w:ind w:firstLine="480"/>
        <w:jc w:val="both"/>
      </w:pPr>
      <w:r>
        <w:rPr>
          <w:b w:val="false"/>
          <w:bCs w:val="false"/>
          <w:color w:val="000000"/>
          <w:sz w:val="24"/>
          <w:szCs w:val="24"/>
          <w:rFonts w:ascii="Times New Roman" w:eastAsia="SimSun"/>
        </w:rPr>
        <w:t xml:space="preserve">结论的触发条件：若产品转向跨所平台运营，多租户、运营与计费体系须重新论证；若长期离线成为首要条件，桌面本地优先路线将取代当前推荐；若真实需求退回简单台账与标准收费，应坦率评估采购成熟产品。上述条件是判断变化的依据，不是现在就建设的功能清单。</w:t>
      </w:r>
    </w:p>
    <w:p>
      <w:pPr>
        <w:pStyle w:val="Heading1"/>
        <w:keepNext/>
        <w:spacing w:before="400" w:after="180" w:line="380" w:lineRule="atLeast"/>
      </w:pPr>
      <w:bookmarkStart w:id="100037" w:name="_Toc100037"/>
      <w:r>
        <w:rPr>
          <w:b/>
          <w:bCs/>
          <w:color w:val="2A4A3A"/>
          <w:sz w:val="32"/>
          <w:szCs w:val="32"/>
          <w:rFonts w:ascii="Times New Roman" w:eastAsia="SimHei"/>
        </w:rPr>
        <w:t xml:space="preserve">附录 A  参考文章清单</w:t>
      </w:r>
      <w:bookmarkEnd w:id="100037"/>
    </w:p>
    <w:p>
      <w:pPr>
        <w:spacing w:line="312" w:after="60"/>
        <w:ind w:firstLine="480"/>
        <w:jc w:val="both"/>
      </w:pPr>
      <w:r>
        <w:rPr>
          <w:b w:val="false"/>
          <w:bCs w:val="false"/>
          <w:color w:val="000000"/>
          <w:sz w:val="24"/>
          <w:szCs w:val="24"/>
          <w:rFonts w:ascii="Times New Roman" w:eastAsia="SimSun"/>
        </w:rPr>
        <w:t xml:space="preserve">以下 14 篇文章均出自公众号“盲盒系统开发源码分享”，发布于 2026 年 9 月 11 日至 13 日，原文以 PDF 形式存于项目参考目录。</w:t>
      </w:r>
    </w:p>
    <w:p>
      <w:pPr>
        <w:keepNext/>
        <w:spacing w:before="240" w:after="80" w:line="312"/>
        <w:jc w:val="center"/>
      </w:pPr>
      <w:r>
        <w:rPr>
          <w:b/>
          <w:bCs/>
          <w:color w:val="2A4A3A"/>
          <w:sz w:val="21"/>
          <w:szCs w:val="21"/>
          <w:rFonts w:ascii="Times New Roman" w:eastAsia="SimHei"/>
        </w:rPr>
        <w:t xml:space="preserve">表 A-1  文章清单与核心贡献</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核心贡献</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核心定位与技术边界解析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品类判定三问；以案件为主数据的六大模块与建模要诀</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与传统手工管理的数据模型差异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结构化字段与关系重组；检索、统计、权限、审计的能力上限在建模时确定</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通用型与领域深耕型怎么选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规模三档分法；六维评估框架与三个反模式</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三种部署模式的技术差异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数据主权与运维责任两主线；迁移数据清洗顺序；总拥有成本构成</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六阶段主链路；状态字典与状态机；归档完整性检查</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06</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客户与联系人管理模块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主体、联系人、参与角色三层区分；角色关联表快照与外键并存</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07</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文档与知识库模块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目录树、不可变版本链、内容指纹；识别流水线与全文倒排索引</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08</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工时双口径；账单快照与作废事务；资金对账纪律</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09</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日程日历与自动提醒模块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事件五分类；期限规则引擎；五级阶梯提醒与调度可靠性</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技术架构设计解析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三层架构与案件中心五子域；务实选型结论：先做模块化单体</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数据库三十张核心表设计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主体与案件双枢纽；金额精度、软删除唯一键、监管链三条红线</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权限体系：RBAC 与数据范围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功能权限与数据范围正交；行级过滤下沉查询层；越权自测准则</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数据安全与保密机制</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分层安全模型；盲索引；密钥管理与审计五条硬约束</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与办公及财务软件集成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同步故障五形态与五步排查；幂等键、死信与全量对账工程</w:t>
            </w:r>
          </w:p>
        </w:tc>
      </w:tr>
    </w:tbl>
    <w:p>
      <w:pPr>
        <w:pStyle w:val="Heading1"/>
        <w:keepNext/>
        <w:spacing w:before="400" w:after="180" w:line="380" w:lineRule="atLeast"/>
      </w:pPr>
      <w:bookmarkStart w:id="100038" w:name="_Toc100038"/>
      <w:r>
        <w:rPr>
          <w:b/>
          <w:bCs/>
          <w:color w:val="2A4A3A"/>
          <w:sz w:val="32"/>
          <w:szCs w:val="32"/>
          <w:rFonts w:ascii="Times New Roman" w:eastAsia="SimHei"/>
        </w:rPr>
        <w:t xml:space="preserve">附录 B  代码证据核查记录</w:t>
      </w:r>
      <w:bookmarkEnd w:id="100038"/>
    </w:p>
    <w:p>
      <w:pPr>
        <w:spacing w:line="312" w:after="60"/>
        <w:ind w:firstLine="480"/>
        <w:jc w:val="both"/>
      </w:pPr>
      <w:r>
        <w:rPr>
          <w:b w:val="false"/>
          <w:bCs w:val="false"/>
          <w:color w:val="000000"/>
          <w:sz w:val="24"/>
          <w:szCs w:val="24"/>
          <w:rFonts w:ascii="Times New Roman" w:eastAsia="SimSun"/>
        </w:rPr>
        <w:t xml:space="preserve">下表为重评报告引用的七处代码证据（C01 至 C07）的逐条核查结果。核查时间为 2026 年 9 月 13 日，行号以当日代码为准，后续可能随修改漂移，应以函数与模型名定位。</w:t>
      </w:r>
    </w:p>
    <w:p>
      <w:pPr>
        <w:keepNext/>
        <w:spacing w:before="240" w:after="80" w:line="312"/>
        <w:jc w:val="center"/>
      </w:pPr>
      <w:r>
        <w:rPr>
          <w:b/>
          <w:bCs/>
          <w:color w:val="2A4A3A"/>
          <w:sz w:val="21"/>
          <w:szCs w:val="21"/>
          <w:rFonts w:ascii="Times New Roman" w:eastAsia="SimHei"/>
        </w:rPr>
        <w:t xml:space="preserve">表 B-1  代码证据核查结果</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编号</w:t>
            </w:r>
          </w:p>
        </w:tc>
        <w:tc>
          <w:tcPr>
            <w:tcW w:type="pct" w:w="4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声明</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核查位置</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结果</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案件实体混同委托、程序语义；关联案件仅有裸双端标识，委托状态仅两个取值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prisma/schema.prisma 中 Matter、MatterProcedure、MatterLink 与 ProcedureEngagement 定义</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C02</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案件可见性按团队成员的主办或原始立案关系推导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src/lib/permissions/index.ts 第 63、77 行的团队过滤函数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C03</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新增用户强制上传证件照片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src/server/users/actions.ts 第 135 至 136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进程内调度，重启可能错过触发时点</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src/server/cron/scheduler.ts 第 10 行注释自认</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财务更正依赖物理删除后重录</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src/server/finance/actions.ts 中删除合同与删除收付记录两个函数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人工智能文书审查输入截断为六千字符</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35、95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文书审查仅当文档归属案件时执行案件级访问断言，收案材料分支跳过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75 至 76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属实，需专项核验</w:t>
            </w:r>
          </w:p>
        </w:tc>
      </w:tr>
    </w:tbl>
    <w:p>
      <w:pPr>
        <w:spacing w:line="312" w:after="60"/>
        <w:ind w:firstLine="480"/>
        <w:jc w:val="both"/>
      </w:pPr>
      <w:r>
        <w:rPr>
          <w:b w:val="false"/>
          <w:bCs w:val="false"/>
          <w:color w:val="000000"/>
          <w:sz w:val="24"/>
          <w:szCs w:val="24"/>
          <w:rFonts w:ascii="Times New Roman" w:eastAsia="SimSun"/>
        </w:rPr>
        <w:t xml:space="preserve">核查说明：C07 的结论为结构性事实，仅说明该入口的对象级断言存在条件分支，不据此认定已发生越权泄露；是否构成实际风险，取决于收案材料分支的既有防护，应按 P0 第 4 项完成专项核验后归档结论。</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80" w:line="380"/>
      <w:outlineLvl w:val="0"/>
    </w:pPr>
    <w:rPr>
      <w:b/>
      <w:bCs/>
      <w:color w:val="2A4A3A"/>
      <w:sz w:val="32"/>
      <w:szCs w:val="32"/>
      <w:rFonts w:ascii="Times New Roman" w:eastAsia="SimHei"/>
    </w:rPr>
  </w:style>
  <w:style w:type="paragraph" w:styleId="Heading2">
    <w:name w:val="Heading 2"/>
    <w:basedOn w:val="Normal"/>
    <w:next w:val="Normal"/>
    <w:qFormat/>
    <w:pPr>
      <w:spacing w:before="280" w:after="120" w:line="350"/>
      <w:outlineLvl w:val="1"/>
    </w:pPr>
    <w:rPr>
      <w:b/>
      <w:bCs/>
      <w:color w:val="2A4A3A"/>
      <w:sz w:val="28"/>
      <w:szCs w:val="28"/>
      <w:rFonts w:ascii="Times New Roman" w:eastAsia="SimHei"/>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LawLink 改进分析报告（综合版）</dc:title>
  <dc:creator>LawLink</dc:creator>
  <cp:lastModifiedBy>Un-named</cp:lastModifiedBy>
  <cp:revision>1</cp:revision>
  <dcterms:created xsi:type="dcterms:W3CDTF">2026-09-13T10:53:03.685Z</dcterms:created>
  <dcterms:modified xsi:type="dcterms:W3CDTF">2026-09-13T10:53:03.685Z</dcterms:modified>
</cp:coreProperties>
</file>

<file path=docProps/custom.xml><?xml version="1.0" encoding="utf-8"?>
<Properties xmlns="http://schemas.openxmlformats.org/officeDocument/2006/custom-properties" xmlns:vt="http://schemas.openxmlformats.org/officeDocument/2006/docPropsVTypes"/>
</file>