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2026年9月5日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提交叶森审阅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当前阶段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代码审查已完成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方案待确认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阅读顺序</w:t>
            </w:r>
          </w:p>
          <w:p>
            <w:pPr>
              <w:spacing w:after="160" w:before="0" w:line="276" w:lineRule="auto"/>
            </w:pPr>
            <w:fldSimple w:instr=" TOC \o &quot;1-1&quot; \h \z ">
              <w:r>
                <w:t>现状分析；账号授权；事项与规则；资料访问；数据与实施；存量与验收；验证依据</w:t>
              </w:r>
            </w:fldSimple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Title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账号与审批权限改造方案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现有五种角色适合承担基础岗位分工，但不足以表达律师事务所按专业和事项分配审核责任的需要。建议保留基础角色，新增可分配给具体账号的审批权限组，并同步调整审批队列、材料访问与登录失效机制。本文是待确认的实施方案，尚未修改业务代码、数据库结构或业务数据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现有账号管理具备基础能力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管理员能够新增用户、修改角色、启停账号和重置密码，也已有账号变更审计。但每个账号只有一个固定角色，没有独立审批授权，不能让两名普通律师分别负责民事与刑事收案。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审批规则分散且粒度不足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收案由管理员或主任律师审批；文书审核沿用管理角色；归档审批主要限定管理员；开票由管理员、主任或财务处理。用章虽有五种章及角色配置，仍不能按具体人员、案件类别和用章事项组合授权。用章事由目前是自由文本，不能可靠地承担权限分类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需要优先收紧的实际缺口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登录角色保存在最长十二小时的令牌中，后续会话没有重新读取账号启停状态和当前角色；停用、降权或重置密码后，旧会话缺少立即失效机制。用章详情读取只验证登录；未关联案件或收案的材料下载也缺少归属校验。这些是代码审查发现，尚未通过真实账号复现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财务角色可通过通用案件访问断言，案件详情随后查询当事人、程序、材料等内容；主任律师也被通用管理判断赋予全所读取权。这与 AGENTS.md 的案件可见性边界不一致。不能通过把更多审核人改成主任或管理员来满足需求。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建议方案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基础角色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审批权限组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案件成员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分别控制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实施范围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收案审批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文书审核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归档审批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用章审批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开票审批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授权方式与账号管理界面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保留岗位并独立配置审核责任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基础角色继续使用管理员、主任律师、律师、助理、财务。案件成员决定日常承办和案件材料访问；审批权限组决定可以审核什么事项。管理员可新建、改名、停用权限组，选择审核范围，并把一个或多个组分配给指定账号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账号管理增加姓名与角色筛选、编辑基本信息、审批权限入口和有效权限摘要。编辑页分为基本信息、岗位角色、审批权限；保存前明确显示新增和撤销的范围。账号停用采用明确目标状态，避免重复点击把停用意外变成启用；保护最后一个有效管理员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用实际工作设置权限组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民事收案审核组：操作为收案通过、驳回及退回补正，案件类别仅选民商事诉讼，分配给负责民事审核的人员。刑事组独立选择刑事诉讼；劳动仲裁、商事仲裁分别配置，不自动归入民商诉讼。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文书与归档审核组：按案件类别分别授予文书审核或归档审批。同一位律师可以审核刑事收案，同时审核民事文书；两项授权互不推导。开票审批也独立授权，不因此获得记账、删除流水或全所财务导出权限。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用章审核组：同时选择用章事项、印章种类及关联案件范围。例如甲审核民事案件委托合同的公章申请；乙审核刑事介绍信的公章申请；丙审核不关联案件的行政证明。审核通过与实际盖章回填是不同操作，分别授权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规则语义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事项和印章分开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同条规则取交集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多个授权取并集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没有授权则拒绝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用章事项与授权规则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把用章事项变成明确选项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保留现有五种印章，新增管理员可维护的用章事项，如委托合同、所函介绍信、顾问合同审核、财务文件、行政文件。申请人必须选事项，再填写具体事由；事项可限制适用印章。类别从关联案件读取，不能由前端另传一个类别取得审批资格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首版使用单级审批：同一事项有多名合格审批人时，由其中一人完成。暂不引入会签、串行多级或条件流程设计器，以保证当前改动能够完整验证。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明确每项授权的含义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审批通过的前提是账号有效、具备对应操作授权、规则范围匹配且申请处于待审批状态。同一条规则内，案件类别、事项与印章均须匹配；多个权限组的允许范围合并。空选项不代表全部，全部类别和不关联案件必须显式选择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管理员负责配置权限，业务审批也通过明确权限组授予。法定代表人章保留指定本人审核的额外限制，管理员身份不得自动绕过。首版不引入复杂的允许与拒绝优先级；启停、身份限制与自审限制始终优先于普通授权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默认不允许申请人审批自己的申请。独立律师可由管理员显式开启自审例外，界面展示并记录启用行为；例外不豁免本人章限制和其他审批条件。没有合格审批人时阻止提交并提示管理员配置，不静默通过，也不自动扩大管理员的审批权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访问边界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必要材料可见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撤权立即生效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防止重复审批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控制直接建案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资料访问与审批一致性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审批资格只开放必要材料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收案审核人可查看对应待审收案及其附件；用章审核人只查看该申请、关联案件必要摘要及申请附件。文书审核开放待审版本与必要上下文；归档审核开放本次提交的归档包。审批权限不自动授予案件编辑、团队管理、财务明细或整案导出权限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案件主办及成员保留既有日常工作访问。财务跨案件访问改用财务专用查询，主任跨案件审核通过审批入口完成。对原有主任全所统计或管理需求单列评估，不能继续用通用管理角色暗含全部正文访问。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所有入口执行同一规则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列表、待办数量、详情、审批按钮、通知接收人及附件预览下载，共用同一授权判断；通知只含必要信息，旧通知链接仍须实时鉴权。审批完成后，申请人及实际审批人保留该单的必要历史查阅；撤销相关权限后，非案件成员不能继续凭历史资格下载材料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服务端每次敏感操作核对当前账号与授权。审批状态更新、业务结果和审计记录同事务提交；重复点击或两人同时审批只能成功一次。审批中修改案件类别、关联案件、事项或待审文件，必须重新提交并重新计算审核资格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处理绕过审批的其他入口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同时检查直接创建正式案件、批量导入、文书批量审核和归档批量操作。要求收案审批的部署，直接创建与导入入口必须服从明确的授权或转待审流程，不能绕过收案审核；批量操作逐项鉴权，不以第一项代表整批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待批准范围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规则文档调整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账号及授权数据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审批入口接入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存量切换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数据库红线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先审核迁移 SQL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再执行迁移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数据设计与实施顺序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使用独立授权数据模型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建议新增审批权限组、组成员和审批规则三类关联表；每个规则绑定操作与范围，组成员通过用户外键关联。新增用章事项配置表；用章申请增加可空事项关联及提交时名称快照。用户增加会话版本字段，用于停用、重置密码和撤销登录后的旧会话失效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采用独立表可利用外键、唯一约束和索引，避免把所有账号权限堆入一条系统设置 JSON。系统设置只保留自审策略与授权模式切换等少量全局选项。审计继续使用现有 AuditLog；授权变更及审批审计改为强一致写入，不沿用失败后吞错的通用写法。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先完成规则再按模块落地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先修改 AGENTS.md、PRD、DATA-MODEL 和 ROADMAP 中过时的岗位审批与可见性约定；确定审批特许访问是受限的新例外。随后设计并校验数据模型和类型，集中实现授权服务，再接账号管理、各项审批、队列通知和附件访问。最后接前端能力摘要与审批操作。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本轮确认与后续执行边界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本方案属于跨模块大改动。确认后才修改规则和业务代码，并设计 Schema、生成仅供审核的迁移 SQL。实际数据库迁移需在 SQL 展示后另行确认；生产部署、推送、删除和环境配置变更也不包含在此次开发授权中。当前工作区已有大量改动，后续仅增量修改相关文件，不覆盖或回退既有工作。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存量处理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旧权限预览确认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旧申请补分类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历史记录保留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真实分工验收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存量切换与验收条件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存量数据切换应可审查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首步只增加结构，保留旧角色、旧申请与历史记录。生成现有角色及章配置对应的授权预览，逐账号显示切换前后差异；管理员确认后再启用新的授权模式。新账号默认没有业务审批权限，分配权限组后生效。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旧用章申请没有事项分类，不从事由文本自动猜测。已完成记录保留原始历史；待审记录列入补充分类清单，补充后重新路由。新增配置停用后不影响历史名称读取，但阻止新申请使用；撤权立即影响待审事项，并重新提示无人审批的申请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用真实分工场景验收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民事审核账号只能处理民事待审单；刑事、仲裁和无关文件的直达链接均被拒绝。一个账号同时加入两个组后只增加相应权限；撤销其中一组即时收回对应能力。事项相同而印章不同、印章相同而事项不同，均分别校验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非案件成员能审阅获授权申请的必要材料，但不能查看整案正文、财务或导出卷宗。账号停用后旧页面、旧会话及下载请求均被拒绝；降权与密码重置后不继续使用旧权限。非管理员不得调用用户及权限配置接口，最后一个有效管理员不能被禁用或降级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自审限制覆盖所有审批动作；法定代表人章必须满足本人条件。无人可审、旧单缺分类、规则停用、审批中换附件、并发重复审批、批量混入无权事项和审计写入失败，都有明确结果且不会误通过。审批消息、队列、数量和实际可操作范围保持一致。</w:t>
            </w:r>
          </w:p>
        </w:tc>
      </w:tr>
    </w:tbl>
    <w:p>
      <w:pPr>
        <w:pageBreakBefore/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" w:type="dxa"/>
        <w:jc w:val="left"/>
        <w:tblInd w:w="-11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</w:tblGrid>
      <w:tr>
        <w:trPr>
          <w:cantSplit w:val="off"/>
          <w:tblHeader w:val="off"/>
        </w:trPr>
        <w:tc>
          <w:tcPr>
            <w:tcW w:w="216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核对依据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当前工作区代码</w:t>
            </w:r>
          </w:p>
          <w:p>
            <w:pPr>
              <w:keepNext/>
              <w:spacing w:after="7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18"/>
              </w:rPr>
              <w:t>现有项目规则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代码基线已验证</w:t>
            </w:r>
          </w:p>
          <w:p>
            <w:pPr>
              <w:spacing w:after="70" w:before="0" w:line="276" w:lineRule="auto"/>
            </w:pPr>
            <w:r>
              <w:rPr>
                <w:rFonts w:ascii="Arial" w:hAnsi="Arial" w:eastAsia="Songti SC"/>
                <w:color w:val="000000"/>
                <w:sz w:val="18"/>
              </w:rPr>
              <w:t>新流程尚未实现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/>
            </w:r>
          </w:p>
        </w:tc>
        <w:tc>
          <w:tcPr>
            <w:tcW w:w="7020" w:type="dxa"/>
            <w:tcMar>
              <w:top w:w="110" w:type="dxa"/>
              <w:bottom w:w="0" w:type="dxa"/>
            </w:tcMar>
            <w:vAlign w:val="top"/>
          </w:tcPr>
          <w:p>
            <w:pPr>
              <w:pStyle w:val="Heading1"/>
              <w:keepNext/>
              <w:spacing w:after="20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8"/>
              </w:rPr>
              <w:t>工程验证与核对依据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工程与浏览器检查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完成后运行 lint、typecheck、prisma:validate、build 及有意义的权限和流程测试。核对本地 3000 端口属于本仓库，再用管理员、民事审核人、刑事审核人、财务及普通承办人验证完整流程。测试材料使用专门样例，不对真实申请作审批。</w:t>
            </w:r>
          </w:p>
          <w:p>
            <w:pPr>
              <w:pStyle w:val="Heading2"/>
              <w:keepNext/>
              <w:spacing w:after="90" w:before="0" w:line="276" w:lineRule="auto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当前代码核对位置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本轮基线检查：lint、typecheck、prisma:validate、build 均已通过，已核对本地 3000 端口属于本仓库并打开登录页。新增能力尚未实现，尚未执行多账号审批验收。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账号与会话：src/server/users/actions.ts；src/lib/auth/options.ts；src/lib/auth/session.ts。重点为角色变更、账号停用、密码重置与会话回调。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审批：src/server 下的 intakes/actions.ts、seals/actions.ts、documents/actions.ts、archive/actions.ts、invoices/actions.ts。用章详情函数 getSealRequest 目前只要求登录。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案件及材料：src/lib/permissions/index.ts；src/server/matters/actions.ts 的 getMatterById；src/app/api/documents/[id]/download/route.ts。</w:t>
            </w:r>
          </w:p>
          <w:p>
            <w:pPr>
              <w:spacing w:after="150" w:before="0" w:line="276" w:lineRule="auto"/>
            </w:pPr>
            <w:r>
              <w:rPr>
                <w:rFonts w:ascii="Arial" w:hAnsi="Arial" w:eastAsia="Songti SC"/>
                <w:color w:val="000000"/>
                <w:sz w:val="20"/>
              </w:rPr>
              <w:t>数据及规则：prisma/schema.prisma 的 User、SealTypeConfig、SealRequest；AGENTS.md 第六节；PRD 第2.1、9.4、12.6节；ROADMAP 的旧审批限制。上述结论基于当前代码，不代表已完成系统安全审计。</w:t>
            </w:r>
          </w:p>
        </w:tc>
      </w:tr>
    </w:tbl>
    <w:p>
      <w:pPr>
        <w:spacing w:after="0" w:before="0" w:line="276" w:lineRule="auto"/>
      </w:pPr>
      <w:r>
        <w:rPr>
          <w:rFonts w:ascii="Arial" w:hAnsi="Arial" w:eastAsia="Songti SC"/>
          <w:color w:val="000000"/>
          <w:sz w:val="2"/>
        </w:rPr>
        <w:t/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3"/>
      <w:tblW w:w="10080" w:type="dxa"/>
      <w:jc w:val="left"/>
      <w:tblInd w:w="-115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0"/>
      <w:gridCol w:w="1440"/>
    </w:tblGrid>
    <w:tr>
      <w:trPr>
        <w:cantSplit w:val="off"/>
        <w:tblHeader w:val="off"/>
      </w:trPr>
      <w:tc>
        <w:tcPr>
          <w:tcMar>
            <w:top w:w="0" w:type="dxa"/>
            <w:bottom w:w="0" w:type="dxa"/>
          </w:tcMar>
          <w:vAlign w:val="center"/>
        </w:tcPr>
        <w:p w14:paraId="00000019">
          <w:pPr>
            <w:spacing w:after="0" w:before="0" w:line="240" w:lineRule="auto"/>
            <w:rPr>
              <w:sz w:val="18"/>
              <w:szCs w:val="18"/>
            </w:rPr>
          </w:pPr>
          <w:r>
            <w:rPr>
              <w:rFonts w:ascii="Arial" w:cs="Arial" w:eastAsia="Songti SC" w:hAnsi="Arial"/>
              <w:b w:val="0"/>
              <w:bCs w:val="0"/>
              <w:i w:val="0"/>
              <w:iCs w:val="0"/>
              <w:color w:val="5a5a5a"/>
              <w:sz w:val="18"/>
              <w:szCs w:val="18"/>
              <w:rtl w:val="0"/>
            </w:rPr>
            <w:t xml:space="preserve">LawLink  |  方案待确认  |  尚未实施</w:t>
          </w:r>
          <w:r>
            <w:rPr>
              <w:rtl w:val="0"/>
            </w:rPr>
          </w:r>
        </w:p>
      </w:tc>
      <w:tc>
        <w:tcPr>
          <w:tcMar>
            <w:top w:w="0" w:type="dxa"/>
            <w:bottom w:w="0" w:type="dxa"/>
          </w:tcMar>
          <w:vAlign w:val="center"/>
        </w:tcPr>
        <w:p w14:paraId="0000001A">
          <w:pPr>
            <w:spacing w:after="0" w:before="0" w:line="240" w:lineRule="auto"/>
            <w:jc w:val="right"/>
            <w:rPr/>
          </w:pPr>
          <w:r>
            <w:fldChar w:fldCharType="begin"/>
          </w:r>
          <w:r>
            <w:instrText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2"/>
      <w:tblW w:w="10080" w:type="dxa"/>
      <w:jc w:val="left"/>
      <w:tblInd w:w="-115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60"/>
      <w:gridCol w:w="7020"/>
    </w:tblGrid>
    <w:tr>
      <w:trPr>
        <w:cantSplit w:val="off"/>
        <w:tblHeader w:val="off"/>
      </w:trPr>
      <w:tc>
        <w:tcPr>
          <w:tcMar>
            <w:top w:w="0" w:type="dxa"/>
            <w:bottom w:w="0" w:type="dxa"/>
          </w:tcMar>
          <w:vAlign w:val="center"/>
        </w:tcPr>
        <w:p w14:paraId="00000014">
          <w:pPr>
            <w:spacing w:after="0" w:before="0" w:line="240" w:lineRule="auto"/>
            <w:rPr>
              <w:color w:val="f27c26"/>
              <w:sz w:val="28"/>
              <w:szCs w:val="28"/>
            </w:rPr>
          </w:pPr>
          <w:r>
            <w:rPr>
              <w:rFonts w:ascii="Arial" w:cs="Arial" w:eastAsia="Songti SC" w:hAnsi="Arial"/>
              <w:b w:val="1"/>
              <w:bCs w:val="1"/>
              <w:i w:val="0"/>
              <w:iCs w:val="0"/>
              <w:color w:val="f27c26"/>
              <w:sz w:val="48"/>
              <w:szCs w:val="48"/>
              <w:rtl w:val="0"/>
            </w:rPr>
            <w:t xml:space="preserve">LawLink</w:t>
          </w:r>
          <w:r>
            <w:rPr>
              <w:rtl w:val="0"/>
            </w:rPr>
          </w:r>
        </w:p>
      </w:tc>
      <w:tc>
        <w:tcPr>
          <w:tcMar>
            <w:top w:w="0" w:type="dxa"/>
            <w:bottom w:w="0" w:type="dxa"/>
          </w:tcMar>
          <w:vAlign w:val="center"/>
        </w:tcPr>
        <w:p w14:paraId="00000015">
          <w:pPr>
            <w:spacing w:after="0" w:before="0" w:line="252" w:lineRule="auto"/>
            <w:rPr>
              <w:sz w:val="18"/>
              <w:szCs w:val="18"/>
            </w:rPr>
          </w:pPr>
          <w:r>
            <w:rPr>
              <w:rFonts w:ascii="Arial" w:cs="Arial" w:eastAsia="Songti SC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账号与审批权限</w:t>
          </w:r>
          <w:r>
            <w:rPr>
              <w:rtl w:val="0"/>
            </w:rPr>
          </w:r>
        </w:p>
        <w:p w14:paraId="00000016">
          <w:pPr>
            <w:spacing w:after="0" w:before="0" w:line="252" w:lineRule="auto"/>
            <w:rPr>
              <w:sz w:val="18"/>
              <w:szCs w:val="18"/>
            </w:rPr>
          </w:pPr>
          <w:r>
            <w:rPr>
              <w:rFonts w:ascii="Arial" w:cs="Arial" w:eastAsia="Songti SC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内部改造方案</w:t>
          </w:r>
          <w:r>
            <w:rPr>
              <w:rtl w:val="0"/>
            </w:rPr>
          </w:r>
        </w:p>
      </w:tc>
    </w:tr>
  </w:tbl>
  <w:p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Songti SC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Songti SC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Songti SC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Songti SC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Songti SC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Songti SC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Songti SC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Songti SC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Songti SC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