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FC666">
      <w:pPr>
        <w:pStyle w:val="3"/>
        <w:keepNext/>
        <w:widowControl/>
        <w:ind w:firstLine="0"/>
      </w:pPr>
      <w:r>
        <w:rPr>
          <w:rFonts w:ascii="Times New Roman" w:hAnsi="Times New Roman" w:eastAsia="Times New Roman" w:cs="Times New Roman"/>
          <w:b/>
          <w:color w:val="000000"/>
        </w:rPr>
        <w:t>Additional file 2. Supplementary methods</w:t>
      </w:r>
    </w:p>
    <w:p w14:paraId="18A05021">
      <w:pPr>
        <w:widowControl/>
        <w:ind w:firstLine="0"/>
      </w:pPr>
      <w:r>
        <w:rPr>
          <w:rFonts w:ascii="Times New Roman" w:hAnsi="Times New Roman" w:eastAsia="Times New Roman" w:cs="Times New Roman"/>
          <w:color w:val="000000"/>
        </w:rPr>
        <w:t>Immune gene and protein profiles across blood, cerebrospinal fluid and peripheral nerve in inflammatory neuropathies</w:t>
      </w:r>
    </w:p>
    <w:p w14:paraId="30A20B23">
      <w:pPr>
        <w:pStyle w:val="3"/>
        <w:keepNext/>
        <w:widowControl/>
        <w:ind w:firstLine="0"/>
      </w:pPr>
      <w:bookmarkStart w:id="0" w:name="_GoBack"/>
      <w:bookmarkEnd w:id="0"/>
      <w:r>
        <w:rPr>
          <w:rFonts w:ascii="Times New Roman" w:hAnsi="Times New Roman" w:eastAsia="Times New Roman" w:cs="Times New Roman"/>
          <w:b/>
          <w:color w:val="000000"/>
        </w:rPr>
        <w:t>Purpose and evidence attribution</w:t>
      </w:r>
    </w:p>
    <w:p w14:paraId="12B29388">
      <w:pPr>
        <w:widowControl/>
        <w:ind w:firstLine="0"/>
      </w:pPr>
      <w:r>
        <w:rPr>
          <w:rFonts w:ascii="Times New Roman" w:hAnsi="Times New Roman" w:eastAsia="Times New Roman" w:cs="Times New Roman"/>
          <w:color w:val="000000"/>
        </w:rPr>
        <w:t>This appendix documents the statistical procedures and source attribution for the current manuscript. The study combines reanalysis of public transcriptomic resources with synthesis of published CSF protein estimates and locali</w:t>
      </w:r>
      <w:r>
        <w:rPr>
          <w:rFonts w:ascii="Times New Roman" w:hAnsi="Times New Roman" w:eastAsia="Times New Roman" w:cs="Times New Roman"/>
          <w:color w:val="000000"/>
        </w:rPr>
        <w:t>s</w:t>
      </w:r>
      <w:r>
        <w:rPr>
          <w:rFonts w:ascii="Times New Roman" w:hAnsi="Times New Roman" w:eastAsia="Times New Roman" w:cs="Times New Roman"/>
          <w:color w:val="000000"/>
        </w:rPr>
        <w:t>ation of published genetic candidates. These components have different inferential units and are identified separately in the figure and table index in Additional file 1.</w:t>
      </w:r>
    </w:p>
    <w:p w14:paraId="6FD3A812">
      <w:pPr>
        <w:widowControl/>
        <w:ind w:firstLine="0"/>
      </w:pPr>
      <w:r>
        <w:rPr>
          <w:rFonts w:ascii="Times New Roman" w:hAnsi="Times New Roman" w:eastAsia="Times New Roman" w:cs="Times New Roman"/>
          <w:color w:val="000000"/>
        </w:rPr>
        <w:t>Additional file 1 contains 49 worksheets with aggregate results, source documentation, gene coverage, donor design summaries, Fc sensitivity tests, refined annotation results and spatial coverage. Additional file 4 supplies the donor expression table used by the genetic localisation scripts, together with its data dictionary and validation records. Reconstruction requirements are described below.</w:t>
      </w:r>
    </w:p>
    <w:p w14:paraId="609F77F2">
      <w:pPr>
        <w:pStyle w:val="3"/>
        <w:keepNext/>
        <w:widowControl/>
        <w:ind w:firstLine="0"/>
      </w:pPr>
      <w:r>
        <w:rPr>
          <w:rFonts w:ascii="Times New Roman" w:hAnsi="Times New Roman" w:eastAsia="Times New Roman" w:cs="Times New Roman"/>
          <w:b/>
          <w:color w:val="000000"/>
        </w:rPr>
        <w:t>Blood cohorts and cross-cohort synthesis</w:t>
      </w:r>
    </w:p>
    <w:p w14:paraId="13D97F95">
      <w:pPr>
        <w:widowControl/>
        <w:ind w:firstLine="0"/>
      </w:pPr>
      <w:r>
        <w:rPr>
          <w:rFonts w:ascii="Times New Roman" w:hAnsi="Times New Roman" w:eastAsia="Times New Roman" w:cs="Times New Roman"/>
          <w:color w:val="000000"/>
        </w:rPr>
        <w:t>GSE211225 contains six acute, ten postacute and six control whole</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blood profiles. GSE31014 contributes seven GBS and seven control leukocyte profiles. PRJNA1293757 contributes PBMC data from three </w:t>
      </w:r>
      <w:r>
        <w:rPr>
          <w:rFonts w:ascii="Times New Roman" w:hAnsi="Times New Roman" w:eastAsia="Times New Roman" w:cs="Times New Roman"/>
          <w:color w:val="000000"/>
        </w:rPr>
        <w:t xml:space="preserve">untreated </w:t>
      </w:r>
      <w:r>
        <w:rPr>
          <w:rFonts w:ascii="Times New Roman" w:hAnsi="Times New Roman" w:eastAsia="Times New Roman" w:cs="Times New Roman"/>
          <w:color w:val="000000"/>
        </w:rPr>
        <w:t>patients</w:t>
      </w:r>
      <w:r>
        <w:rPr>
          <w:rFonts w:ascii="Times New Roman" w:hAnsi="Times New Roman" w:eastAsia="Times New Roman" w:cs="Times New Roman"/>
          <w:color w:val="000000"/>
        </w:rPr>
        <w:t xml:space="preserve"> with AIDP</w:t>
      </w:r>
      <w:r>
        <w:rPr>
          <w:rFonts w:ascii="Times New Roman" w:hAnsi="Times New Roman" w:eastAsia="Times New Roman" w:cs="Times New Roman"/>
          <w:color w:val="000000"/>
        </w:rPr>
        <w:t xml:space="preserve"> and two controls</w:t>
      </w:r>
      <w:r>
        <w:rPr>
          <w:rFonts w:ascii="Times New Roman" w:hAnsi="Times New Roman" w:eastAsia="Times New Roman" w:cs="Times New Roman"/>
          <w:color w:val="000000"/>
        </w:rPr>
        <w:t>. Cells were retained if they had 200 to 6000 detected genes, at least 500 counts and a</w:t>
      </w:r>
      <w:r>
        <w:rPr>
          <w:rFonts w:ascii="Times New Roman" w:hAnsi="Times New Roman" w:eastAsia="Times New Roman" w:cs="Times New Roman"/>
          <w:color w:val="000000"/>
        </w:rPr>
        <w:t xml:space="preserve"> m</w:t>
      </w:r>
      <w:r>
        <w:rPr>
          <w:rFonts w:ascii="Times New Roman" w:hAnsi="Times New Roman" w:eastAsia="Times New Roman" w:cs="Times New Roman"/>
          <w:color w:val="000000"/>
        </w:rPr>
        <w:t>itoch</w:t>
      </w:r>
      <w:r>
        <w:rPr>
          <w:rFonts w:ascii="Times New Roman" w:hAnsi="Times New Roman" w:eastAsia="Times New Roman" w:cs="Times New Roman"/>
          <w:color w:val="000000"/>
        </w:rPr>
        <w:t>on</w:t>
      </w:r>
      <w:r>
        <w:rPr>
          <w:rFonts w:ascii="Times New Roman" w:hAnsi="Times New Roman" w:eastAsia="Times New Roman" w:cs="Times New Roman"/>
          <w:color w:val="000000"/>
        </w:rPr>
        <w:t>drial c</w:t>
      </w:r>
      <w:r>
        <w:rPr>
          <w:rFonts w:ascii="Times New Roman" w:hAnsi="Times New Roman" w:eastAsia="Times New Roman" w:cs="Times New Roman"/>
          <w:color w:val="000000"/>
        </w:rPr>
        <w:t>o</w:t>
      </w:r>
      <w:r>
        <w:rPr>
          <w:rFonts w:ascii="Times New Roman" w:hAnsi="Times New Roman" w:eastAsia="Times New Roman" w:cs="Times New Roman"/>
          <w:color w:val="000000"/>
        </w:rPr>
        <w:t>unt fra</w:t>
      </w:r>
      <w:r>
        <w:rPr>
          <w:rFonts w:ascii="Times New Roman" w:hAnsi="Times New Roman" w:eastAsia="Times New Roman" w:cs="Times New Roman"/>
          <w:color w:val="000000"/>
        </w:rPr>
        <w:t>ct</w:t>
      </w:r>
      <w:r>
        <w:rPr>
          <w:rFonts w:ascii="Times New Roman" w:hAnsi="Times New Roman" w:eastAsia="Times New Roman" w:cs="Times New Roman"/>
          <w:color w:val="000000"/>
        </w:rPr>
        <w:t>ion b</w:t>
      </w:r>
      <w:r>
        <w:rPr>
          <w:rFonts w:ascii="Times New Roman" w:hAnsi="Times New Roman" w:eastAsia="Times New Roman" w:cs="Times New Roman"/>
          <w:color w:val="000000"/>
        </w:rPr>
        <w:t>e</w:t>
      </w:r>
      <w:r>
        <w:rPr>
          <w:rFonts w:ascii="Times New Roman" w:hAnsi="Times New Roman" w:eastAsia="Times New Roman" w:cs="Times New Roman"/>
          <w:color w:val="000000"/>
        </w:rPr>
        <w:t>low 20%. Each retained cell was assigned to the lineage with the highest mean log1p(CP10k)</w:t>
      </w:r>
      <w:r>
        <w:rPr>
          <w:rFonts w:ascii="Times New Roman" w:hAnsi="Times New Roman" w:eastAsia="Times New Roman" w:cs="Times New Roman"/>
          <w:color w:val="000000"/>
        </w:rPr>
        <w:t xml:space="preserve"> expression </w:t>
      </w:r>
      <w:r>
        <w:rPr>
          <w:rFonts w:ascii="Times New Roman" w:hAnsi="Times New Roman" w:eastAsia="Times New Roman" w:cs="Times New Roman"/>
          <w:color w:val="000000"/>
        </w:rPr>
        <w:t xml:space="preserve">across </w:t>
      </w:r>
      <w:r>
        <w:rPr>
          <w:rFonts w:ascii="Times New Roman" w:hAnsi="Times New Roman" w:eastAsia="Times New Roman" w:cs="Times New Roman"/>
          <w:color w:val="000000"/>
        </w:rPr>
        <w:t>i</w:t>
      </w:r>
      <w:r>
        <w:rPr>
          <w:rFonts w:ascii="Times New Roman" w:hAnsi="Times New Roman" w:eastAsia="Times New Roman" w:cs="Times New Roman"/>
          <w:color w:val="000000"/>
        </w:rPr>
        <w:t>t</w:t>
      </w:r>
      <w:r>
        <w:rPr>
          <w:rFonts w:ascii="Times New Roman" w:hAnsi="Times New Roman" w:eastAsia="Times New Roman" w:cs="Times New Roman"/>
          <w:color w:val="000000"/>
        </w:rPr>
        <w:t>s a</w:t>
      </w:r>
      <w:r>
        <w:rPr>
          <w:rFonts w:ascii="Times New Roman" w:hAnsi="Times New Roman" w:eastAsia="Times New Roman" w:cs="Times New Roman"/>
          <w:color w:val="000000"/>
        </w:rPr>
        <w:t xml:space="preserve">vailable marker </w:t>
      </w:r>
      <w:r>
        <w:rPr>
          <w:rFonts w:ascii="Times New Roman" w:hAnsi="Times New Roman" w:eastAsia="Times New Roman" w:cs="Times New Roman"/>
          <w:color w:val="000000"/>
        </w:rPr>
        <w:t>g</w:t>
      </w:r>
      <w:r>
        <w:rPr>
          <w:rFonts w:ascii="Times New Roman" w:hAnsi="Times New Roman" w:eastAsia="Times New Roman" w:cs="Times New Roman"/>
          <w:color w:val="000000"/>
        </w:rPr>
        <w:t>enes. The monocyte markers we</w:t>
      </w:r>
      <w:r>
        <w:rPr>
          <w:rFonts w:ascii="Times New Roman" w:hAnsi="Times New Roman" w:eastAsia="Times New Roman" w:cs="Times New Roman"/>
          <w:color w:val="000000"/>
        </w:rPr>
        <w:t>re</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LST1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TYROBP</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FCER1G</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CTSS</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AIF1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LILRB1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S100A8</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S100A9</w:t>
      </w:r>
      <w:r>
        <w:rPr>
          <w:rFonts w:ascii="Times New Roman" w:hAnsi="Times New Roman" w:eastAsia="Times New Roman" w:cs="Times New Roman"/>
          <w:color w:val="000000"/>
        </w:rPr>
        <w:t>. Competin</w:t>
      </w:r>
      <w:r>
        <w:rPr>
          <w:rFonts w:ascii="Times New Roman" w:hAnsi="Times New Roman" w:eastAsia="Times New Roman" w:cs="Times New Roman"/>
          <w:color w:val="000000"/>
        </w:rPr>
        <w:t>g</w:t>
      </w:r>
      <w:r>
        <w:rPr>
          <w:rFonts w:ascii="Times New Roman" w:hAnsi="Times New Roman" w:eastAsia="Times New Roman" w:cs="Times New Roman"/>
          <w:color w:val="000000"/>
        </w:rPr>
        <w:t xml:space="preserve"> line</w:t>
      </w:r>
      <w:r>
        <w:rPr>
          <w:rFonts w:ascii="Times New Roman" w:hAnsi="Times New Roman" w:eastAsia="Times New Roman" w:cs="Times New Roman"/>
          <w:color w:val="000000"/>
        </w:rPr>
        <w:t>a</w:t>
      </w:r>
      <w:r>
        <w:rPr>
          <w:rFonts w:ascii="Times New Roman" w:hAnsi="Times New Roman" w:eastAsia="Times New Roman" w:cs="Times New Roman"/>
          <w:color w:val="000000"/>
        </w:rPr>
        <w:t>ge marker panels are specified in 02_prjna1293757_pseudobulk.py. Monocy</w:t>
      </w:r>
      <w:r>
        <w:rPr>
          <w:rFonts w:ascii="Times New Roman" w:hAnsi="Times New Roman" w:eastAsia="Times New Roman" w:cs="Times New Roman"/>
          <w:color w:val="000000"/>
        </w:rPr>
        <w:t>t</w:t>
      </w:r>
      <w:r>
        <w:rPr>
          <w:rFonts w:ascii="Times New Roman" w:hAnsi="Times New Roman" w:eastAsia="Times New Roman" w:cs="Times New Roman"/>
          <w:color w:val="000000"/>
        </w:rPr>
        <w:t>e counts were summ</w:t>
      </w:r>
      <w:r>
        <w:rPr>
          <w:rFonts w:ascii="Times New Roman" w:hAnsi="Times New Roman" w:eastAsia="Times New Roman" w:cs="Times New Roman"/>
          <w:color w:val="000000"/>
        </w:rPr>
        <w:t xml:space="preserve">ed by </w:t>
      </w:r>
      <w:r>
        <w:rPr>
          <w:rFonts w:ascii="Times New Roman" w:hAnsi="Times New Roman" w:eastAsia="Times New Roman" w:cs="Times New Roman"/>
          <w:color w:val="000000"/>
        </w:rPr>
        <w:t>d</w:t>
      </w:r>
      <w:r>
        <w:rPr>
          <w:rFonts w:ascii="Times New Roman" w:hAnsi="Times New Roman" w:eastAsia="Times New Roman" w:cs="Times New Roman"/>
          <w:color w:val="000000"/>
        </w:rPr>
        <w:t>o</w:t>
      </w:r>
      <w:r>
        <w:rPr>
          <w:rFonts w:ascii="Times New Roman" w:hAnsi="Times New Roman" w:eastAsia="Times New Roman" w:cs="Times New Roman"/>
          <w:color w:val="000000"/>
        </w:rPr>
        <w:t xml:space="preserve">nor and transformed as </w:t>
      </w:r>
      <w:r>
        <w:rPr>
          <w:rFonts w:ascii="Times New Roman" w:hAnsi="Times New Roman" w:eastAsia="Times New Roman" w:cs="Times New Roman"/>
          <w:color w:val="000000"/>
        </w:rPr>
        <w:t>log</w:t>
      </w:r>
      <w:r>
        <w:rPr>
          <w:rFonts w:ascii="Times New Roman" w:hAnsi="Times New Roman" w:eastAsia="Times New Roman" w:cs="Times New Roman"/>
          <w:color w:val="000000"/>
        </w:rPr>
        <w:t>2(CPM + 0.5) for module an</w:t>
      </w:r>
      <w:r>
        <w:rPr>
          <w:rFonts w:ascii="Times New Roman" w:hAnsi="Times New Roman" w:eastAsia="Times New Roman" w:cs="Times New Roman"/>
          <w:color w:val="000000"/>
        </w:rPr>
        <w:t>al</w:t>
      </w:r>
      <w:r>
        <w:rPr>
          <w:rFonts w:ascii="Times New Roman" w:hAnsi="Times New Roman" w:eastAsia="Times New Roman" w:cs="Times New Roman"/>
          <w:color w:val="000000"/>
        </w:rPr>
        <w:t>y</w:t>
      </w:r>
      <w:r>
        <w:rPr>
          <w:rFonts w:ascii="Times New Roman" w:hAnsi="Times New Roman" w:eastAsia="Times New Roman" w:cs="Times New Roman"/>
          <w:color w:val="000000"/>
        </w:rPr>
        <w:t>s</w:t>
      </w:r>
      <w:r>
        <w:rPr>
          <w:rFonts w:ascii="Times New Roman" w:hAnsi="Times New Roman" w:eastAsia="Times New Roman" w:cs="Times New Roman"/>
          <w:color w:val="000000"/>
        </w:rPr>
        <w:t>is</w:t>
      </w:r>
      <w:r>
        <w:rPr>
          <w:rFonts w:ascii="Times New Roman" w:hAnsi="Times New Roman" w:eastAsia="Times New Roman" w:cs="Times New Roman"/>
          <w:color w:val="000000"/>
        </w:rPr>
        <w:t>.</w:t>
      </w:r>
    </w:p>
    <w:p w14:paraId="22D0F3EF">
      <w:pPr>
        <w:widowControl/>
        <w:ind w:firstLine="0"/>
      </w:pPr>
      <w:r>
        <w:rPr>
          <w:rFonts w:ascii="Times New Roman" w:hAnsi="Times New Roman" w:eastAsia="Times New Roman" w:cs="Times New Roman"/>
          <w:color w:val="000000"/>
        </w:rPr>
        <w:t>Seven script-defined gene modules were evaluated within each blood cohort. Cohort effects used Hedges g and exact label permutation tests of mean score differences. The supplied common.py enumerates all label partitions when their number does not exceed 250000</w:t>
      </w:r>
      <w:r>
        <w:rPr>
          <w:rFonts w:ascii="Times New Roman" w:hAnsi="Times New Roman" w:eastAsia="Times New Roman" w:cs="Times New Roman"/>
          <w:color w:val="000000"/>
        </w:rPr>
        <w:t>.</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T</w:t>
      </w:r>
      <w:r>
        <w:rPr>
          <w:rFonts w:ascii="Times New Roman" w:hAnsi="Times New Roman" w:eastAsia="Times New Roman" w:cs="Times New Roman"/>
          <w:color w:val="000000"/>
        </w:rPr>
        <w:t>he acute</w:t>
      </w:r>
      <w:r>
        <w:rPr>
          <w:rFonts w:ascii="Times New Roman" w:hAnsi="Times New Roman" w:eastAsia="Times New Roman" w:cs="Times New Roman"/>
          <w:color w:val="000000"/>
        </w:rPr>
        <w:t xml:space="preserve"> versus </w:t>
      </w:r>
      <w:r>
        <w:rPr>
          <w:rFonts w:ascii="Times New Roman" w:hAnsi="Times New Roman" w:eastAsia="Times New Roman" w:cs="Times New Roman"/>
          <w:color w:val="000000"/>
        </w:rPr>
        <w:t xml:space="preserve">control comparisons lie below this limit. Benjamini–Hochberg correction covers seven modules within each comparison. </w:t>
      </w:r>
      <w:r>
        <w:rPr>
          <w:rFonts w:ascii="Times New Roman" w:hAnsi="Times New Roman" w:eastAsia="Times New Roman" w:cs="Times New Roman"/>
          <w:color w:val="000000"/>
        </w:rPr>
        <w:t>A</w:t>
      </w:r>
      <w:r>
        <w:rPr>
          <w:rFonts w:ascii="Times New Roman" w:hAnsi="Times New Roman" w:eastAsia="Times New Roman" w:cs="Times New Roman"/>
          <w:color w:val="000000"/>
        </w:rPr>
        <w:t>cute</w:t>
      </w:r>
      <w:r>
        <w:rPr>
          <w:rFonts w:ascii="Times New Roman" w:hAnsi="Times New Roman" w:eastAsia="Times New Roman" w:cs="Times New Roman"/>
          <w:color w:val="000000"/>
        </w:rPr>
        <w:t xml:space="preserve"> versus </w:t>
      </w:r>
      <w:r>
        <w:rPr>
          <w:rFonts w:ascii="Times New Roman" w:hAnsi="Times New Roman" w:eastAsia="Times New Roman" w:cs="Times New Roman"/>
          <w:color w:val="000000"/>
        </w:rPr>
        <w:t>postacute inferential results are omitted</w:t>
      </w:r>
      <w:r>
        <w:rPr>
          <w:rFonts w:ascii="Times New Roman" w:hAnsi="Times New Roman" w:eastAsia="Times New Roman" w:cs="Times New Roman"/>
          <w:color w:val="000000"/>
        </w:rPr>
        <w:t xml:space="preserve"> from the current manuscript</w:t>
      </w:r>
      <w:r>
        <w:rPr>
          <w:rFonts w:ascii="Times New Roman" w:hAnsi="Times New Roman" w:eastAsia="Times New Roman" w:cs="Times New Roman"/>
          <w:color w:val="000000"/>
        </w:rPr>
        <w:t xml:space="preserve"> because cross-phase donor independence could not be verified from the archived design. Postacute profiles were included in the original preprocessing.</w:t>
      </w:r>
      <w:r>
        <w:rPr>
          <w:rStyle w:val="CommentReference"/>
        </w:rPr>
      </w:r>
    </w:p>
    <w:p w14:paraId="0A06B20A">
      <w:pPr>
        <w:widowControl/>
        <w:ind w:firstLine="0"/>
      </w:pPr>
      <w:r>
        <w:rPr>
          <w:rFonts w:ascii="Times New Roman" w:hAnsi="Times New Roman" w:eastAsia="Times New Roman" w:cs="Times New Roman"/>
          <w:color w:val="000000"/>
        </w:rPr>
        <w:t>The cross-cohort model uses inverse variance weighting with the DerSimonian-Laird estimate of between-study variance. The reported modified Hartung-Knapp intervals use a residual variance scale bounded below by one and a t distribution with k minus one degrees of freedom. The repository script reproduces the estimates, intervals, P values and I² for all seven modules. Leave-one-cohort-out analyses retain two cohorts and assess direction, with no claim of confirmatory significance.</w:t>
      </w:r>
    </w:p>
    <w:p w14:paraId="32EB8E95">
      <w:pPr>
        <w:widowControl/>
        <w:ind w:firstLine="0"/>
      </w:pPr>
      <w:r>
        <w:rPr>
          <w:rFonts w:ascii="Times New Roman" w:hAnsi="Times New Roman" w:eastAsia="Times New Roman" w:cs="Times New Roman"/>
          <w:color w:val="000000"/>
        </w:rPr>
        <w:t>CXCL8 recruitment and complement have positive effects in all three blood cohorts. Four other modules have positive effects in two cohorts. The LIF and OSM module is positive only in whole blood. None of the seven pooled effects reaches P below 0.05.</w:t>
      </w:r>
    </w:p>
    <w:p w14:paraId="786E5535">
      <w:pPr>
        <w:pStyle w:val="3"/>
        <w:keepNext/>
        <w:widowControl/>
        <w:ind w:firstLine="0"/>
      </w:pPr>
      <w:r>
        <w:rPr>
          <w:rFonts w:ascii="Times New Roman" w:hAnsi="Times New Roman" w:eastAsia="Times New Roman" w:cs="Times New Roman"/>
          <w:b/>
          <w:color w:val="000000"/>
        </w:rPr>
        <w:t>Peripheral nerve analyses</w:t>
      </w:r>
    </w:p>
    <w:p w14:paraId="5E0AFD44">
      <w:pPr>
        <w:widowControl/>
        <w:ind w:firstLine="0"/>
      </w:pPr>
      <w:r>
        <w:rPr>
          <w:rFonts w:ascii="Times New Roman" w:hAnsi="Times New Roman" w:eastAsia="Times New Roman" w:cs="Times New Roman"/>
          <w:color w:val="000000"/>
        </w:rPr>
        <w:t>GSE285983 provides sural nerve single nucleus data. The principal comparison includes 9 CIDP and 11 CIAP donors, with eligible donor counts varying by cell group. Counts are summed for each donor and annotated cell group. Groups containing at least 20 nuclei per donor contribute to targeted pseudobulk comparisons. Library sizes use all genes. Targeted expression is transformed as log2(CPM + 0.5).</w:t>
      </w:r>
    </w:p>
    <w:p w14:paraId="57B0B368">
      <w:pPr>
        <w:widowControl/>
        <w:ind w:firstLine="0"/>
      </w:pPr>
      <w:r>
        <w:rPr>
          <w:rFonts w:ascii="Times New Roman" w:hAnsi="Times New Roman" w:eastAsia="Times New Roman" w:cs="Times New Roman"/>
          <w:color w:val="000000"/>
        </w:rPr>
        <w:t>Within each cell group, genes are standardi</w:t>
      </w:r>
      <w:r>
        <w:rPr>
          <w:rFonts w:ascii="Times New Roman" w:hAnsi="Times New Roman" w:eastAsia="Times New Roman" w:cs="Times New Roman"/>
          <w:color w:val="000000"/>
        </w:rPr>
        <w:t>s</w:t>
      </w:r>
      <w:r>
        <w:rPr>
          <w:rFonts w:ascii="Times New Roman" w:hAnsi="Times New Roman" w:eastAsia="Times New Roman" w:cs="Times New Roman"/>
          <w:color w:val="000000"/>
        </w:rPr>
        <w:t>ed across eligible donors from all diagnoses. Gene module scores are means of available standardi</w:t>
      </w:r>
      <w:r>
        <w:rPr>
          <w:rFonts w:ascii="Times New Roman" w:hAnsi="Times New Roman" w:eastAsia="Times New Roman" w:cs="Times New Roman"/>
          <w:color w:val="000000"/>
        </w:rPr>
        <w:t>s</w:t>
      </w:r>
      <w:r>
        <w:rPr>
          <w:rFonts w:ascii="Times New Roman" w:hAnsi="Times New Roman" w:eastAsia="Times New Roman" w:cs="Times New Roman"/>
          <w:color w:val="000000"/>
        </w:rPr>
        <w:t xml:space="preserve">ed genes. The original CIDP and CIAP comparisons use the </w:t>
      </w:r>
      <w:r>
        <w:rPr>
          <w:rFonts w:ascii="Times New Roman" w:hAnsi="Times New Roman" w:eastAsia="Times New Roman" w:cs="Times New Roman"/>
          <w:color w:val="000000"/>
        </w:rPr>
        <w:t>two</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sid</w:t>
      </w:r>
      <w:r>
        <w:rPr>
          <w:rFonts w:ascii="Times New Roman" w:hAnsi="Times New Roman" w:eastAsia="Times New Roman" w:cs="Times New Roman"/>
          <w:color w:val="000000"/>
        </w:rPr>
        <w:t>e</w:t>
      </w:r>
      <w:r>
        <w:rPr>
          <w:rFonts w:ascii="Times New Roman" w:hAnsi="Times New Roman" w:eastAsia="Times New Roman" w:cs="Times New Roman"/>
          <w:color w:val="000000"/>
        </w:rPr>
        <w:t>d</w:t>
      </w:r>
      <w:r>
        <w:rPr>
          <w:rFonts w:ascii="Times New Roman" w:hAnsi="Times New Roman" w:eastAsia="Times New Roman" w:cs="Times New Roman"/>
          <w:color w:val="000000"/>
        </w:rPr>
        <w:t xml:space="preserve"> Mann and Whitney </w:t>
      </w:r>
      <w:r>
        <w:rPr>
          <w:rFonts w:ascii="Times New Roman" w:hAnsi="Times New Roman" w:eastAsia="Times New Roman" w:cs="Times New Roman"/>
          <w:color w:val="000000"/>
        </w:rPr>
        <w:t>U</w:t>
      </w:r>
      <w:r>
        <w:rPr>
          <w:rFonts w:ascii="Times New Roman" w:hAnsi="Times New Roman" w:eastAsia="Times New Roman" w:cs="Times New Roman"/>
          <w:color w:val="000000"/>
        </w:rPr>
        <w:t xml:space="preserve"> t</w:t>
      </w:r>
      <w:r>
        <w:rPr>
          <w:rFonts w:ascii="Times New Roman" w:hAnsi="Times New Roman" w:eastAsia="Times New Roman" w:cs="Times New Roman"/>
          <w:color w:val="000000"/>
        </w:rPr>
        <w:t>es</w:t>
      </w:r>
      <w:r>
        <w:rPr>
          <w:rFonts w:ascii="Times New Roman" w:hAnsi="Times New Roman" w:eastAsia="Times New Roman" w:cs="Times New Roman"/>
          <w:color w:val="000000"/>
        </w:rPr>
        <w:t xml:space="preserve">t and correction across eight modules within each cell group. These original tests are unadjusted. </w:t>
      </w:r>
      <w:r>
        <w:rPr>
          <w:rFonts w:ascii="Times New Roman" w:hAnsi="Times New Roman" w:eastAsia="Times New Roman" w:cs="Times New Roman"/>
          <w:color w:val="000000"/>
        </w:rPr>
        <w:t>Th</w:t>
      </w:r>
      <w:r>
        <w:rPr>
          <w:rFonts w:ascii="Times New Roman" w:hAnsi="Times New Roman" w:eastAsia="Times New Roman" w:cs="Times New Roman"/>
          <w:color w:val="000000"/>
        </w:rPr>
        <w:t>e</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s</w:t>
      </w:r>
      <w:r>
        <w:rPr>
          <w:rFonts w:ascii="Times New Roman" w:hAnsi="Times New Roman" w:eastAsia="Times New Roman" w:cs="Times New Roman"/>
          <w:color w:val="000000"/>
        </w:rPr>
        <w:t>ubseque</w:t>
      </w:r>
      <w:r>
        <w:rPr>
          <w:rFonts w:ascii="Times New Roman" w:hAnsi="Times New Roman" w:eastAsia="Times New Roman" w:cs="Times New Roman"/>
          <w:color w:val="000000"/>
        </w:rPr>
        <w:t>n</w:t>
      </w:r>
      <w:r>
        <w:rPr>
          <w:rFonts w:ascii="Times New Roman" w:hAnsi="Times New Roman" w:eastAsia="Times New Roman" w:cs="Times New Roman"/>
          <w:color w:val="000000"/>
        </w:rPr>
        <w:t>t</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analyses</w:t>
      </w:r>
      <w:r>
        <w:rPr>
          <w:rFonts w:ascii="Times New Roman" w:hAnsi="Times New Roman" w:eastAsia="Times New Roman" w:cs="Times New Roman"/>
          <w:color w:val="000000"/>
        </w:rPr>
        <w:t xml:space="preserve"> add the demographic, composition, annotation and broader correction checks described below.</w:t>
      </w:r>
    </w:p>
    <w:p w14:paraId="3D2807A6">
      <w:pPr>
        <w:widowControl/>
        <w:ind w:firstLine="0"/>
      </w:pPr>
      <w:r>
        <w:rPr>
          <w:rFonts w:ascii="Times New Roman" w:hAnsi="Times New Roman" w:eastAsia="Times New Roman" w:cs="Times New Roman"/>
          <w:color w:val="000000"/>
        </w:rPr>
        <w:t>Cell fractions are compared at donor level using unadjusted Mann-Whitney tests, with multiple testing correction across cell groups. Spearman correlations among five selected module scores use nine matched CIDP donors. The ten pairwise tests receive one Benjamini-Hochberg correction. The fifteen correlations with INCAT receive a separate correction. No result in either correlation family survives FDR 0.05. Nominal associations remain exploratory.</w:t>
      </w:r>
    </w:p>
    <w:p w14:paraId="27566788">
      <w:pPr>
        <w:widowControl/>
        <w:ind w:firstLine="0"/>
      </w:pPr>
      <w:r>
        <w:rPr>
          <w:rFonts w:ascii="Times New Roman" w:hAnsi="Times New Roman" w:eastAsia="Times New Roman" w:cs="Times New Roman"/>
          <w:color w:val="000000"/>
        </w:rPr>
        <w:t>The original Fc score was reproduced from the archived donor expression table, with a maximum absolute score difference below 0.000000000001. Reaggregation of all 20 case and comparator raw matrices reproduced 220 macrophage gene expression values to within the same numerical tolerance. Broader correction across 80 module contrasts gives q = 0.087 for the Fc module, compared with q = 0.0087 for the original eight module family.</w:t>
      </w:r>
    </w:p>
    <w:p w14:paraId="3D7823EA">
      <w:pPr>
        <w:pStyle w:val="4"/>
        <w:keepNext/>
        <w:widowControl/>
        <w:ind w:firstLine="0"/>
      </w:pPr>
      <w:r>
        <w:rPr>
          <w:rFonts w:ascii="Times New Roman" w:hAnsi="Times New Roman" w:eastAsia="Times New Roman" w:cs="Times New Roman"/>
          <w:b/>
          <w:color w:val="000000"/>
        </w:rPr>
        <w:t>Exploratory Fc analysis specification</w:t>
      </w:r>
    </w:p>
    <w:p w14:paraId="763D41EE">
      <w:pPr>
        <w:widowControl/>
        <w:ind w:firstLine="0"/>
      </w:pPr>
      <w:r>
        <w:rPr>
          <w:rFonts w:ascii="Times New Roman" w:hAnsi="Times New Roman" w:eastAsia="Times New Roman" w:cs="Times New Roman"/>
          <w:color w:val="000000"/>
        </w:rPr>
        <w:t>The sensitivity</w:t>
      </w:r>
      <w:r>
        <w:rPr>
          <w:rFonts w:ascii="Times New Roman" w:hAnsi="Times New Roman" w:eastAsia="Times New Roman" w:cs="Times New Roman"/>
          <w:color w:val="000000"/>
        </w:rPr>
        <w:t xml:space="preserve"> analysis</w:t>
      </w:r>
      <w:r>
        <w:rPr>
          <w:rFonts w:ascii="Times New Roman" w:hAnsi="Times New Roman" w:eastAsia="Times New Roman" w:cs="Times New Roman"/>
          <w:color w:val="000000"/>
        </w:rPr>
        <w:t xml:space="preserve"> plan was written before the first successful new statistical run, after the original Fc association was already known. It is not a preregistration. An input coverage check identified </w:t>
      </w:r>
      <w:r>
        <w:rPr>
          <w:rFonts w:ascii="Times New Roman" w:hAnsi="Times New Roman" w:eastAsia="Times New Roman" w:cs="Times New Roman"/>
          <w:i/>
          <w:color w:val="000000"/>
        </w:rPr>
        <w:t>FCGR2C</w:t>
      </w:r>
      <w:r>
        <w:rPr>
          <w:rFonts w:ascii="Times New Roman" w:hAnsi="Times New Roman" w:eastAsia="Times New Roman" w:cs="Times New Roman"/>
          <w:color w:val="000000"/>
        </w:rPr>
        <w:t xml:space="preserve"> as absent before new test results were generated. The available gene family therefore contains 11 tests. The original module includes </w:t>
      </w:r>
      <w:r>
        <w:rPr>
          <w:rFonts w:ascii="Times New Roman" w:hAnsi="Times New Roman" w:eastAsia="Times New Roman" w:cs="Times New Roman"/>
          <w:i/>
          <w:color w:val="000000"/>
        </w:rPr>
        <w:t>FCGR1A</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FCGR2A</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FCGR2B</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FCGR3A</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FCGR3B</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FCGRT</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FCER1G</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TYROBP</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SYK</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LYN</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HCK</w:t>
      </w:r>
      <w:r>
        <w:rPr>
          <w:rFonts w:ascii="Times New Roman" w:hAnsi="Times New Roman" w:eastAsia="Times New Roman" w:cs="Times New Roman"/>
          <w:color w:val="000000"/>
        </w:rPr>
        <w:t>.</w:t>
      </w:r>
    </w:p>
    <w:p w14:paraId="1525963A">
      <w:pPr>
        <w:pStyle w:val="4"/>
        <w:keepNext/>
        <w:widowControl/>
        <w:ind w:firstLine="0"/>
      </w:pPr>
      <w:r>
        <w:rPr>
          <w:rFonts w:ascii="Times New Roman" w:hAnsi="Times New Roman" w:eastAsia="Times New Roman" w:cs="Times New Roman"/>
          <w:b/>
          <w:color w:val="000000"/>
        </w:rPr>
        <w:t>Demographic sensitivity and exact permutation</w:t>
      </w:r>
    </w:p>
    <w:p w14:paraId="56E85794">
      <w:pPr>
        <w:widowControl/>
        <w:ind w:firstLine="0"/>
      </w:pPr>
      <w:r>
        <w:rPr>
          <w:rFonts w:ascii="Times New Roman" w:hAnsi="Times New Roman" w:eastAsia="Times New Roman" w:cs="Times New Roman"/>
          <w:color w:val="000000"/>
        </w:rPr>
        <w:t xml:space="preserve">All nine CIDP donors are male. CIAP includes seven male and four female donors. CIDP counts at Essen, Münster and Würzburg are five, one and three, respectively. Corresponding CIAP counts are one, six and four. Linear models use an intercept, a CIDP indicator, age and indicator variables for centre. The sex sensitivity adds a female indicator. HC3 covariance uses squared residuals divided by the square of one minus leverage inside the sandwich estimator. Confidence limits and tests use a t distribution with residual degrees of freedom. These intervals describe adjusted mean score differences. </w:t>
      </w:r>
      <w:r>
        <w:rPr>
          <w:rFonts w:ascii="Times New Roman" w:hAnsi="Times New Roman" w:eastAsia="Times New Roman" w:cs="Times New Roman"/>
          <w:color w:val="000000"/>
        </w:rPr>
        <w:t xml:space="preserve">The reported unadjusted comparisons use two sided </w:t>
      </w:r>
      <w:r>
        <w:rPr>
          <w:rFonts w:ascii="Times New Roman" w:hAnsi="Times New Roman" w:eastAsia="Times New Roman" w:cs="Times New Roman"/>
          <w:color w:val="000000"/>
        </w:rPr>
        <w:t>Mann and Whitney P values</w:t>
      </w:r>
      <w:r>
        <w:rPr>
          <w:rFonts w:ascii="Times New Roman" w:hAnsi="Times New Roman" w:eastAsia="Times New Roman" w:cs="Times New Roman"/>
          <w:color w:val="000000"/>
        </w:rPr>
        <w:t>.</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F</w:t>
      </w:r>
      <w:r>
        <w:rPr>
          <w:rFonts w:ascii="Times New Roman" w:hAnsi="Times New Roman" w:eastAsia="Times New Roman" w:cs="Times New Roman"/>
          <w:color w:val="000000"/>
        </w:rPr>
        <w:t xml:space="preserve">or </w:t>
      </w:r>
      <w:r>
        <w:rPr>
          <w:rFonts w:ascii="Times New Roman" w:hAnsi="Times New Roman" w:eastAsia="Times New Roman" w:cs="Times New Roman"/>
          <w:color w:val="000000"/>
        </w:rPr>
        <w:t>individual genes, f</w:t>
      </w:r>
      <w:r>
        <w:rPr>
          <w:rFonts w:ascii="Times New Roman" w:hAnsi="Times New Roman" w:eastAsia="Times New Roman" w:cs="Times New Roman"/>
          <w:color w:val="000000"/>
        </w:rPr>
        <w:t>un</w:t>
      </w:r>
      <w:r>
        <w:rPr>
          <w:rFonts w:ascii="Times New Roman" w:hAnsi="Times New Roman" w:eastAsia="Times New Roman" w:cs="Times New Roman"/>
          <w:color w:val="000000"/>
        </w:rPr>
        <w:t>ction</w:t>
      </w:r>
      <w:r>
        <w:rPr>
          <w:rFonts w:ascii="Times New Roman" w:hAnsi="Times New Roman" w:eastAsia="Times New Roman" w:cs="Times New Roman"/>
          <w:color w:val="000000"/>
        </w:rPr>
        <w:t>a</w:t>
      </w:r>
      <w:r>
        <w:rPr>
          <w:rFonts w:ascii="Times New Roman" w:hAnsi="Times New Roman" w:eastAsia="Times New Roman" w:cs="Times New Roman"/>
          <w:color w:val="000000"/>
        </w:rPr>
        <w:t>l summaries an</w:t>
      </w:r>
      <w:r>
        <w:rPr>
          <w:rFonts w:ascii="Times New Roman" w:hAnsi="Times New Roman" w:eastAsia="Times New Roman" w:cs="Times New Roman"/>
          <w:color w:val="000000"/>
        </w:rPr>
        <w:t>d</w:t>
      </w:r>
      <w:r>
        <w:rPr>
          <w:rFonts w:ascii="Times New Roman" w:hAnsi="Times New Roman" w:eastAsia="Times New Roman" w:cs="Times New Roman"/>
          <w:color w:val="000000"/>
        </w:rPr>
        <w:t xml:space="preserve"> anno</w:t>
      </w:r>
      <w:r>
        <w:rPr>
          <w:rFonts w:ascii="Times New Roman" w:hAnsi="Times New Roman" w:eastAsia="Times New Roman" w:cs="Times New Roman"/>
          <w:color w:val="000000"/>
        </w:rPr>
        <w:t>t</w:t>
      </w:r>
      <w:r>
        <w:rPr>
          <w:rFonts w:ascii="Times New Roman" w:hAnsi="Times New Roman" w:eastAsia="Times New Roman" w:cs="Times New Roman"/>
          <w:color w:val="000000"/>
        </w:rPr>
        <w:t>ation</w:t>
      </w:r>
      <w:r>
        <w:rPr>
          <w:rFonts w:ascii="Times New Roman" w:hAnsi="Times New Roman" w:eastAsia="Times New Roman" w:cs="Times New Roman"/>
          <w:color w:val="000000"/>
        </w:rPr>
        <w:t xml:space="preserve"> comparison</w:t>
      </w:r>
      <w:r>
        <w:rPr>
          <w:rFonts w:ascii="Times New Roman" w:hAnsi="Times New Roman" w:eastAsia="Times New Roman" w:cs="Times New Roman"/>
          <w:color w:val="000000"/>
        </w:rPr>
        <w:t>s, q values are obtained by applying Benjamini and Hochberg correction to these P values. The HC3 intervals quantify uncertainty in mean differences and are not confidence intervals corresponding to the rank test</w:t>
      </w:r>
      <w:r>
        <w:rPr>
          <w:rFonts w:ascii="Times New Roman" w:hAnsi="Times New Roman" w:eastAsia="Times New Roman" w:cs="Times New Roman"/>
          <w:color w:val="000000"/>
        </w:rPr>
        <w:t>s. No effect in female CIDP donors is estimable from this design.</w:t>
      </w:r>
    </w:p>
    <w:p w14:paraId="2D20C5A4">
      <w:pPr>
        <w:pStyle w:val="4"/>
        <w:keepNext/>
        <w:widowControl/>
        <w:ind w:firstLine="0"/>
      </w:pPr>
      <w:r>
        <w:rPr>
          <w:rFonts w:ascii="Times New Roman" w:hAnsi="Times New Roman" w:eastAsia="Times New Roman" w:cs="Times New Roman"/>
          <w:b/>
          <w:color w:val="000000"/>
        </w:rPr>
        <w:t>Permutation assumptions and omission analyses</w:t>
      </w:r>
    </w:p>
    <w:p w14:paraId="793DB011">
      <w:pPr>
        <w:widowControl/>
        <w:ind w:firstLine="0"/>
      </w:pPr>
      <w:r>
        <w:rPr>
          <w:rFonts w:ascii="Times New Roman" w:hAnsi="Times New Roman" w:eastAsia="Times New Roman" w:cs="Times New Roman"/>
          <w:color w:val="000000"/>
        </w:rPr>
        <w:t>The exact centre permutation test preserves the number of CIDP labels within each centre. It enumerates all 1470 possible allocations and compares the absolute centre adjusted disease coefficient with the observed coefficient. Seven allocations are at least as extreme, giving P = 0.0047619. The observed allocation is included in the denominator, so no Monte Carlo correction is added. The test assumes exchangeability within centre and cannot remove unmeasured confounding. Separate donor, centre and gene omissions are correlated sensitivity checks. Their nominal P values are descriptive and are not treated as independent replications.</w:t>
      </w:r>
    </w:p>
    <w:p w14:paraId="26D8B26B">
      <w:pPr>
        <w:pStyle w:val="4"/>
        <w:keepNext/>
        <w:widowControl/>
        <w:ind w:firstLine="0"/>
      </w:pPr>
      <w:r>
        <w:rPr>
          <w:rFonts w:ascii="Times New Roman" w:hAnsi="Times New Roman" w:eastAsia="Times New Roman" w:cs="Times New Roman"/>
          <w:b/>
          <w:color w:val="000000"/>
        </w:rPr>
        <w:t>Functional component definitions</w:t>
      </w:r>
    </w:p>
    <w:p w14:paraId="249F18C0">
      <w:pPr>
        <w:widowControl/>
        <w:ind w:firstLine="0"/>
      </w:pPr>
      <w:r>
        <w:rPr>
          <w:rFonts w:ascii="Times New Roman" w:hAnsi="Times New Roman" w:eastAsia="Times New Roman" w:cs="Times New Roman"/>
          <w:color w:val="000000"/>
        </w:rPr>
        <w:t xml:space="preserve">Four exploratory summaries distinguish activating receptors </w:t>
      </w:r>
      <w:r>
        <w:rPr>
          <w:rFonts w:ascii="Times New Roman" w:hAnsi="Times New Roman" w:eastAsia="Times New Roman" w:cs="Times New Roman"/>
          <w:i/>
          <w:color w:val="000000"/>
        </w:rPr>
        <w:t>FCGR1A</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FCGR2A</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FCGR3A</w:t>
      </w:r>
      <w:r>
        <w:rPr>
          <w:rFonts w:ascii="Times New Roman" w:hAnsi="Times New Roman" w:eastAsia="Times New Roman" w:cs="Times New Roman"/>
          <w:color w:val="000000"/>
        </w:rPr>
        <w:t xml:space="preserve">, the inhibitory receptor </w:t>
      </w:r>
      <w:r>
        <w:rPr>
          <w:rFonts w:ascii="Times New Roman" w:hAnsi="Times New Roman" w:eastAsia="Times New Roman" w:cs="Times New Roman"/>
          <w:i/>
          <w:color w:val="000000"/>
        </w:rPr>
        <w:t>FCGR2B</w:t>
      </w:r>
      <w:r>
        <w:rPr>
          <w:rFonts w:ascii="Times New Roman" w:hAnsi="Times New Roman" w:eastAsia="Times New Roman" w:cs="Times New Roman"/>
          <w:color w:val="000000"/>
        </w:rPr>
        <w:t xml:space="preserve">, the neonatal Fc receptor </w:t>
      </w:r>
      <w:r>
        <w:rPr>
          <w:rFonts w:ascii="Times New Roman" w:hAnsi="Times New Roman" w:eastAsia="Times New Roman" w:cs="Times New Roman"/>
          <w:i/>
          <w:color w:val="000000"/>
        </w:rPr>
        <w:t>FCGRT</w:t>
      </w:r>
      <w:r>
        <w:rPr>
          <w:rFonts w:ascii="Times New Roman" w:hAnsi="Times New Roman" w:eastAsia="Times New Roman" w:cs="Times New Roman"/>
          <w:color w:val="000000"/>
        </w:rPr>
        <w:t xml:space="preserve">, and signalling components </w:t>
      </w:r>
      <w:r>
        <w:rPr>
          <w:rFonts w:ascii="Times New Roman" w:hAnsi="Times New Roman" w:eastAsia="Times New Roman" w:cs="Times New Roman"/>
          <w:i/>
          <w:color w:val="000000"/>
        </w:rPr>
        <w:t>FCER1G</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TYROBP</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SYK</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LYN</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HCK</w:t>
      </w:r>
      <w:r>
        <w:rPr>
          <w:rFonts w:ascii="Times New Roman" w:hAnsi="Times New Roman" w:eastAsia="Times New Roman" w:cs="Times New Roman"/>
          <w:color w:val="000000"/>
        </w:rPr>
        <w:t xml:space="preserve">. Correction covers these four summaries separately. </w:t>
      </w:r>
      <w:r>
        <w:rPr>
          <w:rFonts w:ascii="Times New Roman" w:hAnsi="Times New Roman" w:eastAsia="Times New Roman" w:cs="Times New Roman"/>
          <w:i/>
          <w:color w:val="000000"/>
        </w:rPr>
        <w:t>FCGR3B</w:t>
      </w:r>
      <w:r>
        <w:rPr>
          <w:rFonts w:ascii="Times New Roman" w:hAnsi="Times New Roman" w:eastAsia="Times New Roman" w:cs="Times New Roman"/>
          <w:color w:val="000000"/>
        </w:rPr>
        <w:t xml:space="preserve"> remains in the original module and individual gene table but is outside the four summaries. Gene standardisation uses eligible donors from all diagnoses for these component analyses. Standardisation within CIDP and CIAP alone is a separate sensitivity analysis. Both component families were motivated by the original composite result.</w:t>
      </w:r>
    </w:p>
    <w:p w14:paraId="5142D4F0">
      <w:pPr>
        <w:pStyle w:val="4"/>
        <w:keepNext/>
        <w:widowControl/>
        <w:ind w:firstLine="0"/>
      </w:pPr>
      <w:r>
        <w:rPr>
          <w:rFonts w:ascii="Times New Roman" w:hAnsi="Times New Roman" w:eastAsia="Times New Roman" w:cs="Times New Roman"/>
          <w:b/>
          <w:color w:val="000000"/>
        </w:rPr>
        <w:t>Refined annotation and composition</w:t>
      </w:r>
    </w:p>
    <w:p w14:paraId="5851BC67">
      <w:pPr>
        <w:widowControl/>
        <w:ind w:firstLine="0"/>
      </w:pPr>
      <w:r>
        <w:rPr>
          <w:rFonts w:ascii="Times New Roman" w:hAnsi="Times New Roman" w:eastAsia="Times New Roman" w:cs="Times New Roman"/>
          <w:color w:val="000000"/>
        </w:rPr>
        <w:t>The original broad macrophage annotation is the union of Macro1 and Macro2 from the whole nerve atlas. Refined immune annotations use Macro1 through Macro18 and additional immune categories. These labels refer to different annotation levels and must not be interchanged. Barcode joins retain all original macrophage nuclei. Thirty</w:t>
      </w:r>
      <w:r>
        <w:rPr>
          <w:rFonts w:ascii="Times New Roman" w:hAnsi="Times New Roman" w:eastAsia="Times New Roman" w:cs="Times New Roman"/>
          <w:color w:val="000000"/>
        </w:rPr>
        <w:t>-</w:t>
      </w:r>
      <w:r>
        <w:rPr>
          <w:rFonts w:ascii="Times New Roman" w:hAnsi="Times New Roman" w:eastAsia="Times New Roman" w:cs="Times New Roman"/>
          <w:color w:val="000000"/>
        </w:rPr>
        <w:t>two refined categories occur in the focused cohort, including reassigned immune populations and nuclei with no refined label. Fractions use the original macrophage count as denominator. Each category is tested at donor level, with correction across all 32 tests.</w:t>
      </w:r>
    </w:p>
    <w:p w14:paraId="256B6C09">
      <w:pPr>
        <w:pStyle w:val="4"/>
        <w:keepNext/>
        <w:widowControl/>
        <w:ind w:firstLine="0"/>
      </w:pPr>
      <w:r>
        <w:rPr>
          <w:rFonts w:ascii="Times New Roman" w:hAnsi="Times New Roman" w:eastAsia="Times New Roman" w:cs="Times New Roman"/>
          <w:b/>
          <w:color w:val="000000"/>
        </w:rPr>
        <w:t>Composition model</w:t>
      </w:r>
    </w:p>
    <w:p w14:paraId="4A11B14C">
      <w:pPr>
        <w:widowControl/>
        <w:ind w:firstLine="0"/>
      </w:pPr>
      <w:r>
        <w:rPr>
          <w:rFonts w:ascii="Times New Roman" w:hAnsi="Times New Roman" w:eastAsia="Times New Roman" w:cs="Times New Roman"/>
          <w:color w:val="000000"/>
        </w:rPr>
        <w:t>A pseudocount of 0.5 is added to each donor category count. Log counts are centred within donor to form centred log ratios. Principal component analysis is performed across the 20 donors without using disease labels. The first two components explain 22.7% and 20.5% of composition variation and enter the Fc model with age and centre. The estimated disease coefficient is −0.310, with a 95% interval from −1.038 to 0.419 and P = 0.375. This model has 13 residual degrees of freedom. Composition could be a mediator, a confounder or a marker of technical variation. The model does not identify which explanation applies.</w:t>
      </w:r>
    </w:p>
    <w:p w14:paraId="2CAE1796">
      <w:pPr>
        <w:pStyle w:val="4"/>
        <w:keepNext/>
        <w:widowControl/>
        <w:ind w:firstLine="0"/>
      </w:pPr>
      <w:r>
        <w:rPr>
          <w:rFonts w:ascii="Times New Roman" w:hAnsi="Times New Roman" w:eastAsia="Times New Roman" w:cs="Times New Roman"/>
          <w:b/>
          <w:color w:val="000000"/>
        </w:rPr>
        <w:t>Raw matrix annotation checks</w:t>
      </w:r>
    </w:p>
    <w:p w14:paraId="674DA1C7">
      <w:pPr>
        <w:widowControl/>
        <w:ind w:firstLine="0"/>
      </w:pPr>
      <w:r>
        <w:rPr>
          <w:rFonts w:ascii="Times New Roman" w:hAnsi="Times New Roman" w:eastAsia="Times New Roman" w:cs="Times New Roman"/>
          <w:color w:val="000000"/>
        </w:rPr>
        <w:t>The 20 original count matrices are summed by donor under the original macrophage union, original Macro1, original Macro2, the refined macrophage union and each of the 18 refined macrophage subtypes. Library sizes contain all measured genes. Each donor requires at least 20 nuclei for the annotation. Tests additionally require at least three eligible donors per diagnosis. Original Macro1 has no eligible donors. Three of four broad annotation definitions and nine of 18 individual refined subtypes are eligible. Broad annotation checks receive correction across three tests, and refined subtype tests receive a separate correction across nine. Genes are standardi</w:t>
      </w:r>
      <w:r>
        <w:rPr>
          <w:rFonts w:ascii="Times New Roman" w:hAnsi="Times New Roman" w:eastAsia="Times New Roman" w:cs="Times New Roman"/>
          <w:color w:val="000000"/>
        </w:rPr>
        <w:t>s</w:t>
      </w:r>
      <w:r>
        <w:rPr>
          <w:rFonts w:ascii="Times New Roman" w:hAnsi="Times New Roman" w:eastAsia="Times New Roman" w:cs="Times New Roman"/>
          <w:color w:val="000000"/>
        </w:rPr>
        <w:t>ed across eligible CIDP and CIAP donors within each definition, so effect magnitudes use definition specific scales.</w:t>
      </w:r>
    </w:p>
    <w:p w14:paraId="24163686">
      <w:pPr>
        <w:pStyle w:val="4"/>
        <w:keepNext/>
        <w:widowControl/>
        <w:ind w:firstLine="0"/>
      </w:pPr>
      <w:r>
        <w:rPr>
          <w:rFonts w:ascii="Times New Roman" w:hAnsi="Times New Roman" w:eastAsia="Times New Roman" w:cs="Times New Roman"/>
          <w:b/>
          <w:color w:val="000000"/>
        </w:rPr>
        <w:t>External data measurement and access audit</w:t>
      </w:r>
    </w:p>
    <w:p w14:paraId="055C84CA">
      <w:pPr>
        <w:widowControl/>
        <w:ind w:firstLine="0"/>
      </w:pPr>
      <w:r>
        <w:rPr>
          <w:rFonts w:ascii="Times New Roman" w:hAnsi="Times New Roman" w:eastAsia="Times New Roman" w:cs="Times New Roman"/>
          <w:color w:val="000000"/>
        </w:rPr>
        <w:t>All eight GSE285984 cell feature matrices contain the same 99 biological genes. None of the specified Fc module genes is present. The two CIDP and two CIAP spatial donors overlap the original nerve atlas, so even covered markers would provide internal triangulation. No spatial distance or expression association analysis was performed. The PRIDE PXD056286 inventory contains 19 instrument files, four Proteome Discoverer files and one checksum file. These are file counts, not participant counts. Its article supplement contains figure descriptions, with no donor protein abundance table. No new quantitative proteomic comparison was performed.</w:t>
      </w:r>
    </w:p>
    <w:p w14:paraId="0A2F0DC3">
      <w:pPr>
        <w:pStyle w:val="4"/>
        <w:keepNext/>
        <w:widowControl/>
        <w:ind w:firstLine="0"/>
      </w:pPr>
      <w:r>
        <w:rPr>
          <w:rFonts w:ascii="Times New Roman" w:hAnsi="Times New Roman" w:eastAsia="Times New Roman" w:cs="Times New Roman"/>
          <w:b/>
          <w:color w:val="000000"/>
        </w:rPr>
        <w:t>CIDP blood candidates</w:t>
      </w:r>
    </w:p>
    <w:p w14:paraId="57391AD7">
      <w:pPr>
        <w:widowControl/>
        <w:ind w:firstLine="0"/>
      </w:pPr>
      <w:r>
        <w:rPr>
          <w:rFonts w:ascii="Times New Roman" w:hAnsi="Times New Roman" w:eastAsia="Times New Roman" w:cs="Times New Roman"/>
          <w:color w:val="000000"/>
        </w:rPr>
        <w:t>Kim and colleagues report four KBDS accessions, KSX10000018 through KSX10000021, for a single cell discovery study with two CIDP and two healthy donors. An analysable matrix was not retrieved for this revision. The larger clinical cohort must not be substituted for these single cell donor counts. EGA EGAD00001015725 is a controlled access candidate. The Theranostics T cell study states that data can be obtained from the corresponding author. No data access requests were sent. The audit distinguishes candidate datasets from datasets actually reanalysed and includes the source URLs.</w:t>
      </w:r>
    </w:p>
    <w:p w14:paraId="6F73AAE7">
      <w:pPr>
        <w:pStyle w:val="3"/>
        <w:keepNext/>
        <w:widowControl/>
        <w:ind w:firstLine="0"/>
      </w:pPr>
      <w:r>
        <w:rPr>
          <w:rFonts w:ascii="Times New Roman" w:hAnsi="Times New Roman" w:eastAsia="Times New Roman" w:cs="Times New Roman"/>
          <w:b/>
          <w:color w:val="000000"/>
        </w:rPr>
        <w:t>CSF evidence and published coefficients</w:t>
      </w:r>
    </w:p>
    <w:p w14:paraId="6AE2EF22">
      <w:pPr>
        <w:widowControl/>
        <w:ind w:firstLine="0"/>
      </w:pPr>
      <w:r>
        <w:rPr>
          <w:rFonts w:ascii="Times New Roman" w:hAnsi="Times New Roman" w:eastAsia="Times New Roman" w:cs="Times New Roman"/>
          <w:color w:val="000000"/>
        </w:rPr>
        <w:t>CSF evidence was assembled from selected reports rather than a systematic literature review. The quantitative synthesis included the ten proteins with coefficients and standard errors for both cohorts in Table 4B of Kmezic et al. These coefficients compared GBS with healthy controls on the log2 normalised protein expression (NPX) scale. The source models adjusted for age, sex and the CSF sample handling marker CCL19. All paired estimates within this reported subset were included, irrespective of direction or statistical significance. Inverse variance fixed effect estimates and normal approximation 95% confidence intervals were calculated, with Benjamini and Hochberg correction across ten pooled tests. DerSimonian and Laird random effects estimates, Q and I² were also reported. The normal approximation differs from the source regressions’ small sample tests. The reported subset does not represent the full assayed proteome. Published identifications and annotations from PXD002911 and three other reports were recorded in a descriptive evidence map. Counts of reports and assay types describe the coverage of these four studies. No participant level CSF matrix was reconstructed or reanalysed.</w:t>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p>
    <w:p w14:paraId="1AFFAB62">
      <w:pPr>
        <w:widowControl/>
        <w:ind w:firstLine="0"/>
      </w:pPr>
      <w:r>
        <w:t>Figure 3C counts unique studies and assay types within each displayed programme. Total CSF protein concentrations are supported by the Bradford measurements reported by Ziganshin et al. and the routine clinical concentrations reported by Sun et al. Concentration measurements are grouped as one broad assay type, with specific methods retained in the source table. The identification of 1402 proteins in PXD002911 does not demonstrate increased concentration. Other assay workflows retain their published descriptions. This is a descriptive tally of selected studies. The Kmezic coefficient synthesis is shown separately in panels A and B.</w:t>
      </w:r>
    </w:p>
    <w:p w14:paraId="2590130A">
      <w:pPr>
        <w:widowControl/>
        <w:ind w:firstLine="0"/>
      </w:pPr>
      <w:r>
        <w:rPr>
          <w:rFonts w:ascii="Times New Roman" w:hAnsi="Times New Roman" w:eastAsia="Times New Roman" w:cs="Times New Roman"/>
          <w:color w:val="000000"/>
        </w:rPr>
        <w:t xml:space="preserve">IL8 is reported separately in source Table 3 and was not included in the non-IL8 Table 4B synthesis. Its source-study findings provide context only. </w:t>
      </w:r>
      <w:r>
        <w:rPr>
          <w:rFonts w:ascii="Times New Roman" w:hAnsi="Times New Roman" w:eastAsia="Times New Roman" w:cs="Times New Roman"/>
          <w:color w:val="000000"/>
        </w:rPr>
        <w:t>Nin</w:t>
      </w:r>
      <w:r>
        <w:rPr>
          <w:rFonts w:ascii="Times New Roman" w:hAnsi="Times New Roman" w:eastAsia="Times New Roman" w:cs="Times New Roman"/>
          <w:color w:val="000000"/>
        </w:rPr>
        <w:t xml:space="preserve">e proteins </w:t>
      </w:r>
      <w:r>
        <w:rPr>
          <w:rFonts w:ascii="Times New Roman" w:hAnsi="Times New Roman" w:eastAsia="Times New Roman" w:cs="Times New Roman"/>
          <w:color w:val="000000"/>
        </w:rPr>
        <w:t>had</w:t>
      </w:r>
      <w:r>
        <w:rPr>
          <w:rFonts w:ascii="Times New Roman" w:hAnsi="Times New Roman" w:eastAsia="Times New Roman" w:cs="Times New Roman"/>
          <w:color w:val="000000"/>
        </w:rPr>
        <w:t xml:space="preserve"> positive co</w:t>
      </w:r>
      <w:r>
        <w:rPr>
          <w:rFonts w:ascii="Times New Roman" w:hAnsi="Times New Roman" w:eastAsia="Times New Roman" w:cs="Times New Roman"/>
          <w:color w:val="000000"/>
        </w:rPr>
        <w:t>efficie</w:t>
      </w:r>
      <w:r>
        <w:rPr>
          <w:rFonts w:ascii="Times New Roman" w:hAnsi="Times New Roman" w:eastAsia="Times New Roman" w:cs="Times New Roman"/>
          <w:color w:val="000000"/>
        </w:rPr>
        <w:t>n</w:t>
      </w:r>
      <w:r>
        <w:rPr>
          <w:rFonts w:ascii="Times New Roman" w:hAnsi="Times New Roman" w:eastAsia="Times New Roman" w:cs="Times New Roman"/>
          <w:color w:val="000000"/>
        </w:rPr>
        <w:t xml:space="preserve">ts in both </w:t>
      </w:r>
      <w:r>
        <w:rPr>
          <w:rFonts w:ascii="Times New Roman" w:hAnsi="Times New Roman" w:eastAsia="Times New Roman" w:cs="Times New Roman"/>
          <w:color w:val="000000"/>
        </w:rPr>
        <w:t>co</w:t>
      </w:r>
      <w:r>
        <w:rPr>
          <w:rFonts w:ascii="Times New Roman" w:hAnsi="Times New Roman" w:eastAsia="Times New Roman" w:cs="Times New Roman"/>
          <w:color w:val="000000"/>
        </w:rPr>
        <w:t>ho</w:t>
      </w:r>
      <w:r>
        <w:rPr>
          <w:rFonts w:ascii="Times New Roman" w:hAnsi="Times New Roman" w:eastAsia="Times New Roman" w:cs="Times New Roman"/>
          <w:color w:val="000000"/>
        </w:rPr>
        <w:t>r</w:t>
      </w:r>
      <w:r>
        <w:rPr>
          <w:rFonts w:ascii="Times New Roman" w:hAnsi="Times New Roman" w:eastAsia="Times New Roman" w:cs="Times New Roman"/>
          <w:color w:val="000000"/>
        </w:rPr>
        <w:t xml:space="preserve">ts </w:t>
      </w:r>
      <w:r>
        <w:rPr>
          <w:rFonts w:ascii="Times New Roman" w:hAnsi="Times New Roman" w:eastAsia="Times New Roman" w:cs="Times New Roman"/>
          <w:color w:val="000000"/>
        </w:rPr>
        <w:t>an</w:t>
      </w:r>
      <w:r>
        <w:rPr>
          <w:rFonts w:ascii="Times New Roman" w:hAnsi="Times New Roman" w:eastAsia="Times New Roman" w:cs="Times New Roman"/>
          <w:color w:val="000000"/>
        </w:rPr>
        <w:t>d q &lt; 0.05 under the fixed effec</w:t>
      </w:r>
      <w:r>
        <w:rPr>
          <w:rFonts w:ascii="Times New Roman" w:hAnsi="Times New Roman" w:eastAsia="Times New Roman" w:cs="Times New Roman"/>
          <w:color w:val="000000"/>
        </w:rPr>
        <w:t xml:space="preserve">t </w:t>
      </w:r>
      <w:r>
        <w:rPr>
          <w:rFonts w:ascii="Times New Roman" w:hAnsi="Times New Roman" w:eastAsia="Times New Roman" w:cs="Times New Roman"/>
          <w:color w:val="000000"/>
        </w:rPr>
        <w:t>model. CD5 showed o</w:t>
      </w:r>
      <w:r>
        <w:rPr>
          <w:rFonts w:ascii="Times New Roman" w:hAnsi="Times New Roman" w:eastAsia="Times New Roman" w:cs="Times New Roman"/>
          <w:color w:val="000000"/>
        </w:rPr>
        <w:t>p</w:t>
      </w:r>
      <w:r>
        <w:rPr>
          <w:rFonts w:ascii="Times New Roman" w:hAnsi="Times New Roman" w:eastAsia="Times New Roman" w:cs="Times New Roman"/>
          <w:color w:val="000000"/>
        </w:rPr>
        <w:t>p</w:t>
      </w:r>
      <w:r>
        <w:rPr>
          <w:rFonts w:ascii="Times New Roman" w:hAnsi="Times New Roman" w:eastAsia="Times New Roman" w:cs="Times New Roman"/>
          <w:color w:val="000000"/>
        </w:rPr>
        <w:t>o</w:t>
      </w:r>
      <w:r>
        <w:rPr>
          <w:rFonts w:ascii="Times New Roman" w:hAnsi="Times New Roman" w:eastAsia="Times New Roman" w:cs="Times New Roman"/>
          <w:color w:val="000000"/>
        </w:rPr>
        <w:t>si</w:t>
      </w:r>
      <w:r>
        <w:rPr>
          <w:rFonts w:ascii="Times New Roman" w:hAnsi="Times New Roman" w:eastAsia="Times New Roman" w:cs="Times New Roman"/>
          <w:color w:val="000000"/>
        </w:rPr>
        <w:t>te</w:t>
      </w:r>
      <w:r>
        <w:rPr>
          <w:rFonts w:ascii="Times New Roman" w:hAnsi="Times New Roman" w:eastAsia="Times New Roman" w:cs="Times New Roman"/>
          <w:color w:val="000000"/>
        </w:rPr>
        <w:t xml:space="preserve"> d</w:t>
      </w:r>
      <w:r>
        <w:rPr>
          <w:rFonts w:ascii="Times New Roman" w:hAnsi="Times New Roman" w:eastAsia="Times New Roman" w:cs="Times New Roman"/>
          <w:color w:val="000000"/>
        </w:rPr>
        <w:t>i</w:t>
      </w:r>
      <w:r>
        <w:rPr>
          <w:rFonts w:ascii="Times New Roman" w:hAnsi="Times New Roman" w:eastAsia="Times New Roman" w:cs="Times New Roman"/>
          <w:color w:val="000000"/>
        </w:rPr>
        <w:t>rectio</w:t>
      </w:r>
      <w:r>
        <w:rPr>
          <w:rFonts w:ascii="Times New Roman" w:hAnsi="Times New Roman" w:eastAsia="Times New Roman" w:cs="Times New Roman"/>
          <w:color w:val="000000"/>
        </w:rPr>
        <w:t>ns and pooled q = 0.984</w:t>
      </w:r>
      <w:r>
        <w:rPr>
          <w:rFonts w:ascii="Times New Roman" w:hAnsi="Times New Roman" w:eastAsia="Times New Roman" w:cs="Times New Roman"/>
          <w:color w:val="000000"/>
        </w:rPr>
        <w:t>. Under the DerSimonian and Laird random effects model, the 95% intervals for IL2RA, NRP1 and IL6 included zero</w:t>
      </w:r>
      <w:r>
        <w:rPr>
          <w:rFonts w:ascii="Times New Roman" w:hAnsi="Times New Roman" w:eastAsia="Times New Roman" w:cs="Times New Roman"/>
          <w:color w:val="000000"/>
        </w:rPr>
        <w:t>. Pooled normal-approximation tests must not be substituted for the original cohort-specific regression tests.</w:t>
      </w:r>
    </w:p>
    <w:p w14:paraId="7ADA6244">
      <w:pPr>
        <w:pStyle w:val="3"/>
        <w:keepNext/>
        <w:widowControl/>
        <w:ind w:firstLine="0"/>
      </w:pPr>
      <w:r>
        <w:rPr>
          <w:rFonts w:ascii="Times New Roman" w:hAnsi="Times New Roman" w:eastAsia="Times New Roman" w:cs="Times New Roman"/>
          <w:b/>
          <w:color w:val="000000"/>
        </w:rPr>
        <w:t>Genetic candidate locali</w:t>
      </w:r>
      <w:r>
        <w:rPr>
          <w:rFonts w:ascii="Times New Roman" w:hAnsi="Times New Roman" w:eastAsia="Times New Roman" w:cs="Times New Roman"/>
          <w:b/>
          <w:color w:val="000000"/>
        </w:rPr>
        <w:t>s</w:t>
      </w:r>
      <w:r>
        <w:rPr>
          <w:rFonts w:ascii="Times New Roman" w:hAnsi="Times New Roman" w:eastAsia="Times New Roman" w:cs="Times New Roman"/>
          <w:b/>
          <w:color w:val="000000"/>
        </w:rPr>
        <w:t>ation</w:t>
      </w:r>
    </w:p>
    <w:p w14:paraId="7F1B165F">
      <w:pPr>
        <w:widowControl/>
        <w:ind w:firstLine="0"/>
      </w:pPr>
      <w:r>
        <w:rPr>
          <w:rFonts w:ascii="Times New Roman" w:hAnsi="Times New Roman" w:eastAsia="Times New Roman" w:cs="Times New Roman"/>
          <w:color w:val="000000"/>
        </w:rPr>
        <w:t xml:space="preserve">The selection of </w:t>
      </w:r>
      <w:r>
        <w:rPr>
          <w:rFonts w:ascii="Times New Roman" w:hAnsi="Times New Roman" w:eastAsia="Times New Roman" w:cs="Times New Roman"/>
          <w:i/>
          <w:color w:val="000000"/>
        </w:rPr>
        <w:t>CDH4</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DIRAS1</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GNG7</w:t>
      </w:r>
      <w:r>
        <w:rPr>
          <w:rFonts w:ascii="Times New Roman" w:hAnsi="Times New Roman" w:eastAsia="Times New Roman" w:cs="Times New Roman"/>
          <w:color w:val="000000"/>
        </w:rPr>
        <w:t xml:space="preserve"> and </w:t>
      </w:r>
      <w:r>
        <w:rPr>
          <w:rFonts w:ascii="Times New Roman" w:hAnsi="Times New Roman" w:eastAsia="Times New Roman" w:cs="Times New Roman"/>
          <w:i/>
          <w:color w:val="000000"/>
        </w:rPr>
        <w:t>SLC39A3</w:t>
      </w:r>
      <w:r>
        <w:rPr>
          <w:rFonts w:ascii="Times New Roman" w:hAnsi="Times New Roman" w:eastAsia="Times New Roman" w:cs="Times New Roman"/>
          <w:color w:val="000000"/>
        </w:rPr>
        <w:t xml:space="preserve"> is based on published GWAS, Mendelian randomi</w:t>
      </w:r>
      <w:r>
        <w:rPr>
          <w:rFonts w:ascii="Times New Roman" w:hAnsi="Times New Roman" w:eastAsia="Times New Roman" w:cs="Times New Roman"/>
          <w:color w:val="000000"/>
        </w:rPr>
        <w:t>s</w:t>
      </w:r>
      <w:r>
        <w:rPr>
          <w:rFonts w:ascii="Times New Roman" w:hAnsi="Times New Roman" w:eastAsia="Times New Roman" w:cs="Times New Roman"/>
          <w:color w:val="000000"/>
        </w:rPr>
        <w:t>ation and colocali</w:t>
      </w:r>
      <w:r>
        <w:rPr>
          <w:rFonts w:ascii="Times New Roman" w:hAnsi="Times New Roman" w:eastAsia="Times New Roman" w:cs="Times New Roman"/>
          <w:color w:val="000000"/>
        </w:rPr>
        <w:t>s</w:t>
      </w:r>
      <w:r>
        <w:rPr>
          <w:rFonts w:ascii="Times New Roman" w:hAnsi="Times New Roman" w:eastAsia="Times New Roman" w:cs="Times New Roman"/>
          <w:color w:val="000000"/>
        </w:rPr>
        <w:t>ation results from Du et al. 2024. Those estimates are retained with their source DOI. No independent GWAS, MAGMA analysis, TWAS or new colocali</w:t>
      </w:r>
      <w:r>
        <w:rPr>
          <w:rFonts w:ascii="Times New Roman" w:hAnsi="Times New Roman" w:eastAsia="Times New Roman" w:cs="Times New Roman"/>
          <w:color w:val="000000"/>
        </w:rPr>
        <w:t>s</w:t>
      </w:r>
      <w:r>
        <w:rPr>
          <w:rFonts w:ascii="Times New Roman" w:hAnsi="Times New Roman" w:eastAsia="Times New Roman" w:cs="Times New Roman"/>
          <w:color w:val="000000"/>
        </w:rPr>
        <w:t>ation analysis was performed for this release.</w:t>
      </w:r>
    </w:p>
    <w:p w14:paraId="77595DF8">
      <w:pPr>
        <w:widowControl/>
        <w:ind w:firstLine="0"/>
      </w:pPr>
      <w:r>
        <w:rPr>
          <w:rFonts w:ascii="Times New Roman" w:hAnsi="Times New Roman" w:eastAsia="Times New Roman" w:cs="Times New Roman"/>
          <w:color w:val="000000"/>
        </w:rPr>
        <w:t>Candidate localisation and the 5000-resample bootstrap were calculated from donor and cell-group summaries, using the fixed random seed 20260904. The public workbook retains disease-group expression and detection estimates, bootstrap intervals and CIDP versus CIAP contrasts. CIDP versus CIAP P values were adjusted across the 11 genes in the archived screen within each cell group. The full table contains 165 tests across 15 cell groups. Figure 5D displays four CIDP candidates in ten cell groups, and none of these forty contrasts survives FDR 0.05. The underlying Genetic_donor_celltype.csv is supplied in Additional file 4. The compilation and bootstrap scripts start from that table and do not reconstruct it from raw matrices. The README in Additional file 4 specifies the destination directory and commands.</w:t>
      </w:r>
      <w:r/>
    </w:p>
    <w:p w14:paraId="5AF68CDB">
      <w:pPr>
        <w:pStyle w:val="3"/>
        <w:keepNext/>
        <w:widowControl/>
        <w:ind w:firstLine="0"/>
      </w:pPr>
      <w:r>
        <w:rPr>
          <w:rFonts w:ascii="Times New Roman" w:hAnsi="Times New Roman" w:eastAsia="Times New Roman" w:cs="Times New Roman"/>
          <w:b/>
          <w:color w:val="000000"/>
        </w:rPr>
        <w:t>Published external nerve observations</w:t>
      </w:r>
    </w:p>
    <w:p w14:paraId="369E4DC8">
      <w:pPr>
        <w:widowControl/>
        <w:ind w:firstLine="0"/>
      </w:pPr>
      <w:r>
        <w:rPr>
          <w:rFonts w:ascii="Times New Roman" w:hAnsi="Times New Roman" w:eastAsia="Times New Roman" w:cs="Times New Roman"/>
          <w:color w:val="000000"/>
        </w:rPr>
        <w:t>Stascheit et al. reported C5b-9 deposition in 52 of 55 CIDP nerve biopsies, together with histological and proteomic observations associated with PXD056286. This study calculates the proportion and Wilson interval from that published count. It does not independently examine those biopsies or reanalyse the raw proteome. Supplementary Figure 2 has been redrawn from the retained aggregate values, with source attribution.</w:t>
      </w:r>
    </w:p>
    <w:p w14:paraId="7749134F">
      <w:pPr>
        <w:pStyle w:val="3"/>
        <w:keepNext/>
        <w:widowControl/>
        <w:ind w:firstLine="0"/>
      </w:pPr>
      <w:r>
        <w:rPr>
          <w:rFonts w:ascii="Times New Roman" w:hAnsi="Times New Roman" w:eastAsia="Times New Roman" w:cs="Times New Roman"/>
          <w:b/>
          <w:color w:val="000000"/>
        </w:rPr>
        <w:t>Reproduction and figure provenance</w:t>
      </w:r>
    </w:p>
    <w:p w14:paraId="397996A2">
      <w:pPr>
        <w:widowControl/>
        <w:ind w:firstLine="0"/>
      </w:pPr>
      <w:r>
        <w:rPr>
          <w:rFonts w:ascii="Times New Roman" w:hAnsi="Times New Roman" w:eastAsia="Times New Roman" w:cs="Times New Roman"/>
          <w:color w:val="000000"/>
        </w:rPr>
        <w:t>Version 41 retains the corrected ten protein CSF synthesis and all five main figures from version 39, with the prose improvements from version 40. It adds Fc sensitivity tests, raw nerve reaggregation and source feasibility audits. Supplementary Figures 3 and 4 are new and are generated from the retained aggregate result tables. Earlier blood and genetic matrix processing was not repeated. These statements describe the archived analysis history. The present figure revisions and the supplementary donor input are documented separately below.</w:t>
      </w:r>
    </w:p>
    <w:p w14:paraId="7CEE8409">
      <w:pPr>
        <w:widowControl/>
        <w:ind w:firstLine="0"/>
      </w:pPr>
      <w:r>
        <w:rPr>
          <w:rFonts w:ascii="Times New Roman" w:hAnsi="Times New Roman" w:eastAsia="Times New Roman" w:cs="Times New Roman"/>
          <w:color w:val="000000"/>
        </w:rPr>
        <w:t>Figure 4A was redrawn from the archived donor mean expression summaries. All points have equal area, and colour represents the arithmetic mean of donor log2(CPM + 0.5) values across nine CIDP donors in each displayed cell group. The granulocyte group was omitted because matching summaries were unavailable. Figure 5B uses the arithmetic mean of donor percentages of expressing nuclei for point area and the arithmetic mean of donor mean log2(CP10k + 1) values for colour, with equal weight for each of the nine CIDP donors. Figure 5A identifies evidence types in individual cells. Its nerve interferon entries use cluster marker results from Supplementary Data 3 and polyneuropathy versus source control results from Supplementary Data 9 of Heming et al. The map does not rank these evidence types on a common scale. Supplementary Figure 1 retains the archived donor bootstrap intervals. Supplementary Figure 2 presents the published complement deposition count and separately describes the smaller proteomic subset. C6 protein was elevated in only two of nine CIDP cases in that source study.</w:t>
      </w:r>
      <w:r/>
    </w:p>
    <w:p w14:paraId="6A1927DE">
      <w:pPr>
        <w:widowControl/>
        <w:ind w:firstLine="0"/>
      </w:pPr>
      <w:r>
        <w:rPr>
          <w:rFonts w:ascii="Times New Roman" w:hAnsi="Times New Roman" w:eastAsia="Times New Roman" w:cs="Times New Roman"/>
          <w:color w:val="000000"/>
        </w:rPr>
        <w:t>Original matrix-processing scripts remain available after downloading the required inputs. Recorded dependency specifications for the earlier pipeline and summary verification are retained with the v2.1.0 archive. Input_files and Data_reconstruction in Additional file 1 distinguish public inputs, extracted published results and locally generated intermediate tables.</w:t>
      </w:r>
    </w:p>
    <w:p w14:paraId="373AE6BD">
      <w:pPr>
        <w:pStyle w:val="3"/>
        <w:keepNext/>
        <w:widowControl/>
        <w:ind w:firstLine="0"/>
      </w:pPr>
      <w:r>
        <w:rPr>
          <w:rFonts w:ascii="Times New Roman" w:hAnsi="Times New Roman" w:eastAsia="Times New Roman" w:cs="Times New Roman"/>
          <w:b/>
          <w:color w:val="000000"/>
        </w:rPr>
        <w:t>Data and code access</w:t>
      </w:r>
    </w:p>
    <w:p w14:paraId="3FE85A57">
      <w:pPr>
        <w:widowControl/>
        <w:ind w:firstLine="0"/>
      </w:pPr>
      <w:r>
        <w:rPr>
          <w:rFonts w:ascii="Times New Roman" w:hAnsi="Times New Roman" w:eastAsia="Times New Roman" w:cs="Times New Roman"/>
          <w:color w:val="000000"/>
        </w:rPr>
        <w:t>Repository release: https://github.com/applepie567/gbs-cidp-blood-nerve-barrier/releases/tag/v2.3.1</w:t>
      </w:r>
    </w:p>
    <w:p w14:paraId="71E709D0">
      <w:pPr>
        <w:widowControl/>
        <w:ind w:firstLine="0"/>
      </w:pPr>
      <w:r>
        <w:t>Version 2.3.1 contains the revised manuscript, source workbook, Figures 3 to 5, supplementary figure correction and plotting inputs. The version series is archived at https://doi.org/10.5281/zenodo.22226672. The GitHub release identifies the corresponding version-specific Zenodo record. Earlier versions remain available in the same series. The public repository redistributes aggregate results. The separate donor input in Additional file 4 accompanies the manuscript and is not included in the public aggregate archive.</w:t>
      </w:r>
    </w:p>
    <w:p w14:paraId="485213E9">
      <w:pPr>
        <w:widowControl/>
        <w:ind w:firstLine="0"/>
      </w:pPr>
      <w:r>
        <w:rPr>
          <w:rFonts w:ascii="Times New Roman" w:hAnsi="Times New Roman" w:eastAsia="Times New Roman" w:cs="Times New Roman"/>
          <w:color w:val="000000"/>
        </w:rPr>
        <w:t>Code is provided under the MIT license. The project-derived data tables and figures are covered by LICENSE-DATA. External source materials remain subject to their original terms and attribution requirements.</w:t>
      </w:r>
    </w:p>
    <w:p w14:paraId="63014EA3">
      <w:pPr>
        <w:pStyle w:val="3"/>
        <w:keepNext/>
        <w:widowControl/>
        <w:ind w:firstLine="0"/>
      </w:pPr>
      <w:r>
        <w:rPr>
          <w:rFonts w:ascii="Times New Roman" w:hAnsi="Times New Roman" w:eastAsia="Times New Roman" w:cs="Times New Roman"/>
          <w:b/>
          <w:color w:val="000000"/>
        </w:rPr>
        <w:t>Original files and local reconstruction</w:t>
      </w:r>
    </w:p>
    <w:p w14:paraId="5A0E13AC">
      <w:pPr>
        <w:widowControl/>
        <w:ind w:firstLine="0"/>
      </w:pPr>
      <w:r>
        <w:rPr>
          <w:rFonts w:ascii="Times New Roman" w:hAnsi="Times New Roman" w:eastAsia="Times New Roman" w:cs="Times New Roman"/>
          <w:color w:val="000000"/>
        </w:rPr>
        <w:t xml:space="preserve">For GSE285983, download GSE285983_RAW.tar and GSE285983_metadata_all.csv.gz using the </w:t>
      </w:r>
      <w:r>
        <w:rPr>
          <w:rFonts w:ascii="Times New Roman" w:hAnsi="Times New Roman" w:eastAsia="Times New Roman" w:cs="Times New Roman"/>
          <w:color w:val="000000"/>
        </w:rPr>
        <w:t>source URL</w:t>
      </w:r>
      <w:r>
        <w:rPr>
          <w:rFonts w:ascii="Times New Roman" w:hAnsi="Times New Roman" w:eastAsia="Times New Roman" w:cs="Times New Roman"/>
          <w:color w:val="000000"/>
        </w:rPr>
        <w:t xml:space="preserve">s in Input_files. </w:t>
      </w:r>
      <w:r>
        <w:rPr>
          <w:rFonts w:ascii="Times New Roman" w:hAnsi="Times New Roman" w:eastAsia="Times New Roman" w:cs="Times New Roman"/>
          <w:color w:val="000000"/>
        </w:rPr>
        <w:t>In the version 2.3.1 package, place the e</w:t>
      </w:r>
      <w:r>
        <w:rPr>
          <w:rFonts w:ascii="Times New Roman" w:hAnsi="Times New Roman" w:eastAsia="Times New Roman" w:cs="Times New Roman"/>
          <w:color w:val="000000"/>
        </w:rPr>
        <w:t>xtracte</w:t>
      </w:r>
      <w:r>
        <w:rPr>
          <w:rFonts w:ascii="Times New Roman" w:hAnsi="Times New Roman" w:eastAsia="Times New Roman" w:cs="Times New Roman"/>
          <w:color w:val="000000"/>
        </w:rPr>
        <w:t>d</w:t>
      </w:r>
      <w:r>
        <w:rPr>
          <w:rFonts w:ascii="Times New Roman" w:hAnsi="Times New Roman" w:eastAsia="Times New Roman" w:cs="Times New Roman"/>
          <w:color w:val="000000"/>
        </w:rPr>
        <w:t xml:space="preserve"> count </w:t>
      </w:r>
      <w:r>
        <w:rPr>
          <w:rFonts w:ascii="Times New Roman" w:hAnsi="Times New Roman" w:eastAsia="Times New Roman" w:cs="Times New Roman"/>
          <w:color w:val="000000"/>
        </w:rPr>
        <w:t>m</w:t>
      </w:r>
      <w:r>
        <w:rPr>
          <w:rFonts w:ascii="Times New Roman" w:hAnsi="Times New Roman" w:eastAsia="Times New Roman" w:cs="Times New Roman"/>
          <w:color w:val="000000"/>
        </w:rPr>
        <w:t>a</w:t>
      </w:r>
      <w:r>
        <w:rPr>
          <w:rFonts w:ascii="Times New Roman" w:hAnsi="Times New Roman" w:eastAsia="Times New Roman" w:cs="Times New Roman"/>
          <w:color w:val="000000"/>
        </w:rPr>
        <w:t>t</w:t>
      </w:r>
      <w:r>
        <w:rPr>
          <w:rFonts w:ascii="Times New Roman" w:hAnsi="Times New Roman" w:eastAsia="Times New Roman" w:cs="Times New Roman"/>
          <w:color w:val="000000"/>
        </w:rPr>
        <w:t>r</w:t>
      </w:r>
      <w:r>
        <w:rPr>
          <w:rFonts w:ascii="Times New Roman" w:hAnsi="Times New Roman" w:eastAsia="Times New Roman" w:cs="Times New Roman"/>
          <w:color w:val="000000"/>
        </w:rPr>
        <w:t>i</w:t>
      </w:r>
      <w:r>
        <w:rPr>
          <w:rFonts w:ascii="Times New Roman" w:hAnsi="Times New Roman" w:eastAsia="Times New Roman" w:cs="Times New Roman"/>
          <w:color w:val="000000"/>
        </w:rPr>
        <w:t>ce</w:t>
      </w:r>
      <w:r>
        <w:rPr>
          <w:rFonts w:ascii="Times New Roman" w:hAnsi="Times New Roman" w:eastAsia="Times New Roman" w:cs="Times New Roman"/>
          <w:color w:val="000000"/>
        </w:rPr>
        <w:t>s</w:t>
      </w:r>
      <w:r>
        <w:rPr>
          <w:rFonts w:ascii="Times New Roman" w:hAnsi="Times New Roman" w:eastAsia="Times New Roman" w:cs="Times New Roman"/>
          <w:color w:val="000000"/>
        </w:rPr>
        <w:t xml:space="preserve"> in</w:t>
      </w:r>
      <w:r>
        <w:rPr>
          <w:rFonts w:ascii="Times New Roman" w:hAnsi="Times New Roman" w:eastAsia="Times New Roman" w:cs="Times New Roman"/>
          <w:color w:val="000000"/>
        </w:rPr>
        <w:t xml:space="preserve"> analysis_upda</w:t>
      </w:r>
      <w:r>
        <w:rPr>
          <w:rFonts w:ascii="Times New Roman" w:hAnsi="Times New Roman" w:eastAsia="Times New Roman" w:cs="Times New Roman"/>
          <w:color w:val="000000"/>
        </w:rPr>
        <w:t>t</w:t>
      </w:r>
      <w:r>
        <w:rPr>
          <w:rFonts w:ascii="Times New Roman" w:hAnsi="Times New Roman" w:eastAsia="Times New Roman" w:cs="Times New Roman"/>
          <w:color w:val="000000"/>
        </w:rPr>
        <w:t>e/</w:t>
      </w:r>
      <w:r>
        <w:rPr>
          <w:rFonts w:ascii="Times New Roman" w:hAnsi="Times New Roman" w:eastAsia="Times New Roman" w:cs="Times New Roman"/>
          <w:color w:val="000000"/>
        </w:rPr>
        <w:t xml:space="preserve">data/raw/GSE285983/h5/ and </w:t>
      </w:r>
      <w:r>
        <w:rPr>
          <w:rFonts w:ascii="Times New Roman" w:hAnsi="Times New Roman" w:eastAsia="Times New Roman" w:cs="Times New Roman"/>
          <w:color w:val="000000"/>
        </w:rPr>
        <w:t>the comp</w:t>
      </w:r>
      <w:r>
        <w:rPr>
          <w:rFonts w:ascii="Times New Roman" w:hAnsi="Times New Roman" w:eastAsia="Times New Roman" w:cs="Times New Roman"/>
          <w:color w:val="000000"/>
        </w:rPr>
        <w:t>r</w:t>
      </w:r>
      <w:r>
        <w:rPr>
          <w:rFonts w:ascii="Times New Roman" w:hAnsi="Times New Roman" w:eastAsia="Times New Roman" w:cs="Times New Roman"/>
          <w:color w:val="000000"/>
        </w:rPr>
        <w:t>essed metadata file in analysis_update/data/raw/GSE285983/. R</w:t>
      </w:r>
      <w:r>
        <w:rPr>
          <w:rFonts w:ascii="Times New Roman" w:hAnsi="Times New Roman" w:eastAsia="Times New Roman" w:cs="Times New Roman"/>
          <w:color w:val="000000"/>
        </w:rPr>
        <w:t xml:space="preserve">un </w:t>
      </w:r>
      <w:r>
        <w:rPr>
          <w:rFonts w:ascii="Times New Roman" w:hAnsi="Times New Roman" w:eastAsia="Times New Roman" w:cs="Times New Roman"/>
          <w:color w:val="000000"/>
        </w:rPr>
        <w:t>analysis_update/</w:t>
      </w:r>
      <w:r>
        <w:rPr>
          <w:rFonts w:ascii="Times New Roman" w:hAnsi="Times New Roman" w:eastAsia="Times New Roman" w:cs="Times New Roman"/>
          <w:color w:val="000000"/>
        </w:rPr>
        <w:t xml:space="preserve">analysis/01_cidp_nerve_pseudobulk.py. </w:t>
      </w:r>
      <w:r>
        <w:rPr>
          <w:rFonts w:ascii="Times New Roman" w:hAnsi="Times New Roman" w:eastAsia="Times New Roman" w:cs="Times New Roman"/>
          <w:color w:val="000000"/>
        </w:rPr>
        <w:t>All</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37 o</w:t>
      </w:r>
      <w:r>
        <w:rPr>
          <w:rFonts w:ascii="Times New Roman" w:hAnsi="Times New Roman" w:eastAsia="Times New Roman" w:cs="Times New Roman"/>
          <w:color w:val="000000"/>
        </w:rPr>
        <w:t>ri</w:t>
      </w:r>
      <w:r>
        <w:rPr>
          <w:rFonts w:ascii="Times New Roman" w:hAnsi="Times New Roman" w:eastAsia="Times New Roman" w:cs="Times New Roman"/>
          <w:color w:val="000000"/>
        </w:rPr>
        <w:t>gin</w:t>
      </w:r>
      <w:r>
        <w:rPr>
          <w:rFonts w:ascii="Times New Roman" w:hAnsi="Times New Roman" w:eastAsia="Times New Roman" w:cs="Times New Roman"/>
          <w:color w:val="000000"/>
        </w:rPr>
        <w:t>al donor m</w:t>
      </w:r>
      <w:r>
        <w:rPr>
          <w:rFonts w:ascii="Times New Roman" w:hAnsi="Times New Roman" w:eastAsia="Times New Roman" w:cs="Times New Roman"/>
          <w:color w:val="000000"/>
        </w:rPr>
        <w:t>atric</w:t>
      </w:r>
      <w:r>
        <w:rPr>
          <w:rFonts w:ascii="Times New Roman" w:hAnsi="Times New Roman" w:eastAsia="Times New Roman" w:cs="Times New Roman"/>
          <w:color w:val="000000"/>
        </w:rPr>
        <w:t>e</w:t>
      </w:r>
      <w:r>
        <w:rPr>
          <w:rFonts w:ascii="Times New Roman" w:hAnsi="Times New Roman" w:eastAsia="Times New Roman" w:cs="Times New Roman"/>
          <w:color w:val="000000"/>
        </w:rPr>
        <w:t>s are required to reconstruct the s</w:t>
      </w:r>
      <w:r>
        <w:rPr>
          <w:rFonts w:ascii="Times New Roman" w:hAnsi="Times New Roman" w:eastAsia="Times New Roman" w:cs="Times New Roman"/>
          <w:color w:val="000000"/>
        </w:rPr>
        <w:t>ta</w:t>
      </w:r>
      <w:r>
        <w:rPr>
          <w:rFonts w:ascii="Times New Roman" w:hAnsi="Times New Roman" w:eastAsia="Times New Roman" w:cs="Times New Roman"/>
          <w:color w:val="000000"/>
        </w:rPr>
        <w:t>n</w:t>
      </w:r>
      <w:r>
        <w:rPr>
          <w:rFonts w:ascii="Times New Roman" w:hAnsi="Times New Roman" w:eastAsia="Times New Roman" w:cs="Times New Roman"/>
          <w:color w:val="000000"/>
        </w:rPr>
        <w:t>da</w:t>
      </w:r>
      <w:r>
        <w:rPr>
          <w:rFonts w:ascii="Times New Roman" w:hAnsi="Times New Roman" w:eastAsia="Times New Roman" w:cs="Times New Roman"/>
          <w:color w:val="000000"/>
        </w:rPr>
        <w:t>rdisation across diagnoses. The separate anno</w:t>
      </w:r>
      <w:r>
        <w:rPr>
          <w:rFonts w:ascii="Times New Roman" w:hAnsi="Times New Roman" w:eastAsia="Times New Roman" w:cs="Times New Roman"/>
          <w:color w:val="000000"/>
        </w:rPr>
        <w:t>ta</w:t>
      </w:r>
      <w:r>
        <w:rPr>
          <w:rFonts w:ascii="Times New Roman" w:hAnsi="Times New Roman" w:eastAsia="Times New Roman" w:cs="Times New Roman"/>
          <w:color w:val="000000"/>
        </w:rPr>
        <w:t>tion</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reaggregati</w:t>
      </w:r>
      <w:r>
        <w:rPr>
          <w:rFonts w:ascii="Times New Roman" w:hAnsi="Times New Roman" w:eastAsia="Times New Roman" w:cs="Times New Roman"/>
          <w:color w:val="000000"/>
        </w:rPr>
        <w:t>o</w:t>
      </w:r>
      <w:r>
        <w:rPr>
          <w:rFonts w:ascii="Times New Roman" w:hAnsi="Times New Roman" w:eastAsia="Times New Roman" w:cs="Times New Roman"/>
          <w:color w:val="000000"/>
        </w:rPr>
        <w:t>n uses the 20 CIDP</w:t>
      </w:r>
      <w:r>
        <w:rPr>
          <w:rFonts w:ascii="Times New Roman" w:hAnsi="Times New Roman" w:eastAsia="Times New Roman" w:cs="Times New Roman"/>
          <w:color w:val="000000"/>
        </w:rPr>
        <w:t xml:space="preserve"> and</w:t>
      </w:r>
      <w:r>
        <w:rPr>
          <w:rFonts w:ascii="Times New Roman" w:hAnsi="Times New Roman" w:eastAsia="Times New Roman" w:cs="Times New Roman"/>
          <w:color w:val="000000"/>
        </w:rPr>
        <w:t xml:space="preserve"> CIAP matrices. The pseudobulk script</w:t>
      </w:r>
      <w:r>
        <w:rPr>
          <w:rFonts w:ascii="Times New Roman" w:hAnsi="Times New Roman" w:eastAsia="Times New Roman" w:cs="Times New Roman"/>
          <w:color w:val="000000"/>
        </w:rPr>
        <w:t xml:space="preserve"> writes targeted</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expression, module</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score</w:t>
      </w:r>
      <w:r>
        <w:rPr>
          <w:rFonts w:ascii="Times New Roman" w:hAnsi="Times New Roman" w:eastAsia="Times New Roman" w:cs="Times New Roman"/>
          <w:color w:val="000000"/>
        </w:rPr>
        <w:t>s</w:t>
      </w:r>
      <w:r>
        <w:rPr>
          <w:rFonts w:ascii="Times New Roman" w:hAnsi="Times New Roman" w:eastAsia="Times New Roman" w:cs="Times New Roman"/>
          <w:color w:val="000000"/>
        </w:rPr>
        <w:t xml:space="preserve"> and cell</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fraction</w:t>
      </w:r>
      <w:r>
        <w:rPr>
          <w:rFonts w:ascii="Times New Roman" w:hAnsi="Times New Roman" w:eastAsia="Times New Roman" w:cs="Times New Roman"/>
          <w:color w:val="000000"/>
        </w:rPr>
        <w:t>s</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u</w:t>
      </w:r>
      <w:r>
        <w:rPr>
          <w:rFonts w:ascii="Times New Roman" w:hAnsi="Times New Roman" w:eastAsia="Times New Roman" w:cs="Times New Roman"/>
          <w:color w:val="000000"/>
        </w:rPr>
        <w:t>n</w:t>
      </w:r>
      <w:r>
        <w:rPr>
          <w:rFonts w:ascii="Times New Roman" w:hAnsi="Times New Roman" w:eastAsia="Times New Roman" w:cs="Times New Roman"/>
          <w:color w:val="000000"/>
        </w:rPr>
        <w:t>d</w:t>
      </w:r>
      <w:r>
        <w:rPr>
          <w:rFonts w:ascii="Times New Roman" w:hAnsi="Times New Roman" w:eastAsia="Times New Roman" w:cs="Times New Roman"/>
          <w:color w:val="000000"/>
        </w:rPr>
        <w:t>er</w:t>
      </w:r>
      <w:r>
        <w:rPr>
          <w:rFonts w:ascii="Times New Roman" w:hAnsi="Times New Roman" w:eastAsia="Times New Roman" w:cs="Times New Roman"/>
          <w:color w:val="000000"/>
        </w:rPr>
        <w:t xml:space="preserve"> analysis_up</w:t>
      </w:r>
      <w:r>
        <w:rPr>
          <w:rFonts w:ascii="Times New Roman" w:hAnsi="Times New Roman" w:eastAsia="Times New Roman" w:cs="Times New Roman"/>
          <w:color w:val="000000"/>
        </w:rPr>
        <w:t>date</w:t>
      </w:r>
      <w:r>
        <w:rPr>
          <w:rFonts w:ascii="Times New Roman" w:hAnsi="Times New Roman" w:eastAsia="Times New Roman" w:cs="Times New Roman"/>
          <w:color w:val="000000"/>
        </w:rPr>
        <w:t>/re</w:t>
      </w:r>
      <w:r>
        <w:rPr>
          <w:rFonts w:ascii="Times New Roman" w:hAnsi="Times New Roman" w:eastAsia="Times New Roman" w:cs="Times New Roman"/>
          <w:color w:val="000000"/>
        </w:rPr>
        <w:t>s</w:t>
      </w:r>
      <w:r>
        <w:rPr>
          <w:rFonts w:ascii="Times New Roman" w:hAnsi="Times New Roman" w:eastAsia="Times New Roman" w:cs="Times New Roman"/>
          <w:color w:val="000000"/>
        </w:rPr>
        <w:t>ults/</w:t>
      </w:r>
      <w:r>
        <w:rPr>
          <w:rFonts w:ascii="Times New Roman" w:hAnsi="Times New Roman" w:eastAsia="Times New Roman" w:cs="Times New Roman"/>
          <w:color w:val="000000"/>
        </w:rPr>
        <w:t>. The five selected CIDP module scores can then be pivoted into a donor</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by</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module table for the ten correlation tests.</w:t>
      </w:r>
      <w:r>
        <w:rPr>
          <w:rStyle w:val="CommentReference"/>
        </w:rPr>
      </w:r>
    </w:p>
    <w:p w14:paraId="33751017">
      <w:pPr>
        <w:widowControl/>
        <w:ind w:firstLine="0"/>
      </w:pPr>
      <w:r>
        <w:rPr>
          <w:rFonts w:ascii="Times New Roman" w:hAnsi="Times New Roman" w:eastAsia="Times New Roman" w:cs="Times New Roman"/>
          <w:color w:val="000000"/>
        </w:rPr>
        <w:t>Genetic localisation uses nucleus level log2(CP10k + 1) expression summarised by donor and cell group, with detection percentages. To reproduce the downstream genetic summaries and bootstrap, copy Genetic_donor_celltype.csv from Additional file 4 into analysis_update/source_data in the version 2.3.1 repository, then run analysis_update/analysis/05_compile_genetic_cell_localization.py and analysis_update/analysis/08_extended_validation.py from the repository root. The supplied scripts do not rebuild this donor table from the original matrices. The public workbook contains the resulting group summaries, contrasts and bootstrap intervals.</w:t>
      </w:r>
    </w:p>
    <w:p w14:paraId="039CD9B1">
      <w:pPr>
        <w:widowControl/>
        <w:ind w:firstLine="0"/>
      </w:pPr>
      <w:r>
        <w:rPr>
          <w:rFonts w:ascii="Times New Roman" w:hAnsi="Times New Roman" w:eastAsia="Times New Roman" w:cs="Times New Roman"/>
          <w:color w:val="000000"/>
        </w:rPr>
        <w:t>The donor worksheets excluded from the public aggregate workbook remain available for private author use. Missing original acquisition dates from the preceding archive have not been reconstructed. Files newly downloaded on 7 September 2026 have a separate manifest giving their actual acquisition date, source URL, byte count and SHA256 checksum. A source access check is not labelled as a file download.</w:t>
      </w:r>
    </w:p>
    <w:p w14:paraId="0AD5A160">
      <w:pPr>
        <w:pStyle w:val="3"/>
        <w:keepNext/>
        <w:widowControl/>
        <w:ind w:firstLine="0"/>
      </w:pPr>
      <w:r>
        <w:rPr>
          <w:rFonts w:ascii="Times New Roman" w:hAnsi="Times New Roman" w:eastAsia="Times New Roman" w:cs="Times New Roman"/>
          <w:b/>
          <w:color w:val="000000"/>
        </w:rPr>
        <w:t>Revision-specific reproduction</w:t>
      </w:r>
    </w:p>
    <w:p w14:paraId="55C10B5A">
      <w:pPr>
        <w:widowControl/>
        <w:ind w:firstLine="0"/>
      </w:pPr>
      <w:r>
        <w:t>The retained analysis_update directory reproduces the corrected CSF calculations and earlier figures. The strengthening_v41 directory contains strengthen_fc.py, subtype_analysis.py and plot_strengthening.py, together with aggregate results, figure files, the exploratory analysis specification and source manifests. The private checkpoint can reproduce the refined analyses with the reuse checkpoint option. Full reconstruction requires the original matrices and metadata listed in the manifest. The original donor expression table is passed explicitly as the original results directory. No new genetic bootstrap analysis was run. Run python analysis_update/analysis/run_v231_figures.py to regenerate the current Figures 3 to 5 from the aggregate inputs. Historical figure runners now call the revised Figure 4 and 5 functions.</w:t>
      </w:r>
    </w:p>
    <w:sectPr>
      <w:headerReference r:id="rId5" w:type="default"/>
      <w:footerReference r:id="rId6" w:type="default"/>
      <w:pgSz w:w="11906" w:h="16838"/>
      <w:pgMar w:top="1417" w:right="1417" w:bottom="1417" w:left="1417" w:header="720" w:footer="720" w:gutter="0"/>
      <w:lnNumType w:countBy="1" w:distance="240" w:restart="continuou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auto"/>
    <w:pitch w:val="default"/>
    <w:sig w:usb0="E0000AFF" w:usb1="00007843" w:usb2="00000001" w:usb3="00000000" w:csb0="400001BF" w:csb1="DFF7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11069">
    <w:pPr>
      <w:pStyle w:val="24"/>
      <w:jc w:val="center"/>
      <w:numPr>
        <w:numId w:val="0"/>
      </w:numPr>
      <w:suppressLineNumbers/>
    </w:pPr>
    <w:r>
      <w:fldChar w:fldCharType="begin"/>
    </w:r>
    <w:r>
      <w:instrText xml:space="preserve">PAGE</w:instrText>
    </w:r>
    <w:r>
      <w:fldChar w:fldCharType="separate"/>
    </w:r>
    <w:r>
      <w:rPr>
        <w:rFonts w:ascii="Times New Roman" w:hAnsi="Times New Roman" w:eastAsia="Times New Roman" w:cs="Times New Roman"/>
        <w:color w:val="000000"/>
      </w:rPr>
      <w:t>1</w:t>
    </w:r>
    <w:r>
      <w:rPr>
        <w:rFonts w:ascii="Times New Roman" w:hAnsi="Times New Roman" w:eastAsia="Times New Roman" w:cs="Times New Roman"/>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A3F47">
    <w:pPr>
      <w:pStyle w:val="25"/>
      <w:numPr>
        <w:numId w:val="0"/>
      </w:numPr>
      <w:suppressLineNumber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ascii="Times New Roman" w:hAnsi="Times New Roman" w:eastAsia="Times New Roman" w:cs="Times New Roman"/>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ascii="Times New Roman" w:hAnsi="Times New Roman" w:eastAsia="Times New Roman" w:cs="Times New Roman"/>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ascii="Times New Roman" w:hAnsi="Times New Roman" w:eastAsia="Times New Roman" w:cs="Times New Roman"/>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DE77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480" w:lineRule="auto"/>
      <w:ind w:firstLine="0"/>
    </w:pPr>
    <w:rPr>
      <w:rFonts w:ascii="Times New Roman" w:hAnsi="Times New Roman" w:eastAsia="Times New Roman" w:cs="Times New Roman"/>
      <w:color w:val="000000"/>
      <w:sz w:val="24"/>
      <w:szCs w:val="22"/>
      <w:lang w:val="en-US" w:eastAsia="en-US" w:bidi="ar-SA"/>
    </w:rPr>
  </w:style>
  <w:style w:type="paragraph" w:styleId="3">
    <w:name w:val="heading 1"/>
    <w:basedOn w:val="1"/>
    <w:next w:val="1"/>
    <w:link w:val="138"/>
    <w:qFormat/>
    <w:uiPriority w:val="9"/>
    <w:pPr>
      <w:keepNext/>
      <w:keepLines/>
      <w:widowControl/>
      <w:spacing w:before="240" w:after="0" w:line="480" w:lineRule="auto"/>
      <w:ind w:firstLine="0"/>
      <w:outlineLvl w:val="0"/>
    </w:pPr>
    <w:rPr>
      <w:rFonts w:ascii="Times New Roman" w:hAnsi="Times New Roman" w:eastAsia="Times New Roman" w:cs="Times New Roman"/>
      <w:b/>
      <w:bCs/>
      <w:color w:val="000000"/>
      <w:sz w:val="24"/>
      <w:szCs w:val="28"/>
    </w:rPr>
  </w:style>
  <w:style w:type="paragraph" w:styleId="4">
    <w:name w:val="heading 2"/>
    <w:basedOn w:val="1"/>
    <w:next w:val="1"/>
    <w:link w:val="139"/>
    <w:unhideWhenUsed/>
    <w:qFormat/>
    <w:uiPriority w:val="9"/>
    <w:pPr>
      <w:keepNext/>
      <w:keepLines/>
      <w:widowControl/>
      <w:spacing w:before="240" w:after="0" w:line="480" w:lineRule="auto"/>
      <w:ind w:firstLine="0"/>
      <w:outlineLvl w:val="1"/>
    </w:pPr>
    <w:rPr>
      <w:rFonts w:ascii="Times New Roman" w:hAnsi="Times New Roman" w:eastAsia="Times New Roman" w:cs="Times New Roman"/>
      <w:b/>
      <w:bCs/>
      <w:color w:val="000000"/>
      <w:sz w:val="24"/>
      <w:szCs w:val="26"/>
    </w:rPr>
  </w:style>
  <w:style w:type="paragraph" w:styleId="5">
    <w:name w:val="heading 3"/>
    <w:basedOn w:val="1"/>
    <w:next w:val="1"/>
    <w:link w:val="140"/>
    <w:unhideWhenUsed/>
    <w:qFormat/>
    <w:uiPriority w:val="9"/>
    <w:pPr>
      <w:keepNext/>
      <w:keepLines/>
      <w:widowControl/>
      <w:spacing w:before="240" w:after="0" w:line="480" w:lineRule="auto"/>
      <w:outlineLvl w:val="2"/>
    </w:pPr>
    <w:rPr>
      <w:rFonts w:ascii="Times New Roman" w:hAnsi="Times New Roman" w:eastAsia="Times New Roman" w:cs="Times New Roman"/>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imes New Roman" w:hAnsi="Times New Roman" w:eastAsia="Times New Roman" w:cs="Times New Roman"/>
      <w:b/>
      <w:bCs/>
      <w:i/>
      <w:iCs/>
      <w:color w:val="000000"/>
    </w:rPr>
  </w:style>
  <w:style w:type="paragraph" w:styleId="7">
    <w:name w:val="heading 5"/>
    <w:basedOn w:val="1"/>
    <w:next w:val="1"/>
    <w:link w:val="151"/>
    <w:semiHidden/>
    <w:unhideWhenUsed/>
    <w:qFormat/>
    <w:uiPriority w:val="9"/>
    <w:pPr>
      <w:keepNext/>
      <w:keepLines/>
      <w:spacing w:before="200" w:after="0"/>
      <w:outlineLvl w:val="4"/>
    </w:pPr>
    <w:rPr>
      <w:rFonts w:ascii="Times New Roman" w:hAnsi="Times New Roman" w:eastAsia="Times New Roman" w:cs="Times New Roman"/>
      <w:color w:val="000000"/>
    </w:rPr>
  </w:style>
  <w:style w:type="paragraph" w:styleId="8">
    <w:name w:val="heading 6"/>
    <w:basedOn w:val="1"/>
    <w:next w:val="1"/>
    <w:link w:val="152"/>
    <w:semiHidden/>
    <w:unhideWhenUsed/>
    <w:qFormat/>
    <w:uiPriority w:val="9"/>
    <w:pPr>
      <w:keepNext/>
      <w:keepLines/>
      <w:spacing w:before="200" w:after="0"/>
      <w:outlineLvl w:val="5"/>
    </w:pPr>
    <w:rPr>
      <w:rFonts w:ascii="Times New Roman" w:hAnsi="Times New Roman" w:eastAsia="Times New Roman" w:cs="Times New Roman"/>
      <w:i/>
      <w:iCs/>
      <w:color w:val="000000"/>
    </w:rPr>
  </w:style>
  <w:style w:type="paragraph" w:styleId="9">
    <w:name w:val="heading 7"/>
    <w:basedOn w:val="1"/>
    <w:next w:val="1"/>
    <w:link w:val="153"/>
    <w:semiHidden/>
    <w:unhideWhenUsed/>
    <w:qFormat/>
    <w:uiPriority w:val="9"/>
    <w:pPr>
      <w:keepNext/>
      <w:keepLines/>
      <w:spacing w:before="200" w:after="0"/>
      <w:outlineLvl w:val="6"/>
    </w:pPr>
    <w:rPr>
      <w:rFonts w:ascii="Times New Roman" w:hAnsi="Times New Roman" w:eastAsia="Times New Roman" w:cs="Times New Roman"/>
      <w:i/>
      <w:iCs/>
      <w:color w:val="000000"/>
    </w:rPr>
  </w:style>
  <w:style w:type="paragraph" w:styleId="10">
    <w:name w:val="heading 8"/>
    <w:basedOn w:val="1"/>
    <w:next w:val="1"/>
    <w:link w:val="154"/>
    <w:semiHidden/>
    <w:unhideWhenUsed/>
    <w:qFormat/>
    <w:uiPriority w:val="9"/>
    <w:pPr>
      <w:keepNext/>
      <w:keepLines/>
      <w:spacing w:before="200" w:after="0"/>
      <w:outlineLvl w:val="7"/>
    </w:pPr>
    <w:rPr>
      <w:rFonts w:ascii="Times New Roman" w:hAnsi="Times New Roman" w:eastAsia="Times New Roman" w:cs="Times New Roman"/>
      <w:color w:val="000000"/>
      <w:sz w:val="20"/>
      <w:szCs w:val="20"/>
    </w:rPr>
  </w:style>
  <w:style w:type="paragraph" w:styleId="11">
    <w:name w:val="heading 9"/>
    <w:basedOn w:val="1"/>
    <w:next w:val="1"/>
    <w:link w:val="155"/>
    <w:semiHidden/>
    <w:unhideWhenUsed/>
    <w:qFormat/>
    <w:uiPriority w:val="9"/>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132">
    <w:name w:val="Default Paragraph Font"/>
    <w:semiHidden/>
    <w:unhideWhenUsed/>
    <w:uiPriority w:val="1"/>
    <w:rPr>
      <w:rFonts w:ascii="Times New Roman" w:hAnsi="Times New Roman" w:eastAsia="Times New Roman" w:cs="Times New Roman"/>
      <w:color w:val="000000"/>
    </w:rPr>
  </w:style>
  <w:style w:type="table" w:default="1" w:styleId="32">
    <w:name w:val="Normal Table"/>
    <w:semiHidden/>
    <w:unhideWhenUsed/>
    <w:uiPriority w:val="99"/>
    <w:rPr>
      <w:rFonts w:ascii="Times New Roman" w:hAnsi="Times New Roman" w:eastAsia="Times New Roman" w:cs="Times New Roman"/>
      <w:color w:val="000000"/>
    </w:rPr>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s="Times New Roman"/>
      <w:color w:val="000000"/>
      <w:sz w:val="20"/>
      <w:szCs w:val="20"/>
      <w:lang w:val="en-US" w:eastAsia="en-US" w:bidi="ar-SA"/>
    </w:rPr>
  </w:style>
  <w:style w:type="paragraph" w:styleId="12">
    <w:name w:val="List 3"/>
    <w:basedOn w:val="1"/>
    <w:unhideWhenUsed/>
    <w:uiPriority w:val="99"/>
    <w:pPr>
      <w:ind w:left="1080" w:hanging="360"/>
      <w:contextualSpacing/>
    </w:pPr>
    <w:rPr>
      <w:rFonts w:ascii="Times New Roman" w:hAnsi="Times New Roman" w:eastAsia="Times New Roman" w:cs="Times New Roman"/>
      <w:color w:val="000000"/>
    </w:rPr>
  </w:style>
  <w:style w:type="paragraph" w:styleId="13">
    <w:name w:val="List Number 2"/>
    <w:basedOn w:val="1"/>
    <w:unhideWhenUsed/>
    <w:uiPriority w:val="99"/>
    <w:pPr>
      <w:numPr>
        <w:ilvl w:val="0"/>
        <w:numId w:val="1"/>
      </w:numPr>
      <w:contextualSpacing/>
    </w:pPr>
    <w:rPr>
      <w:rFonts w:ascii="Times New Roman" w:hAnsi="Times New Roman" w:eastAsia="Times New Roman" w:cs="Times New Roman"/>
      <w:color w:val="000000"/>
    </w:rPr>
  </w:style>
  <w:style w:type="paragraph" w:styleId="14">
    <w:name w:val="List Number"/>
    <w:basedOn w:val="1"/>
    <w:unhideWhenUsed/>
    <w:uiPriority w:val="99"/>
    <w:pPr>
      <w:numPr>
        <w:ilvl w:val="0"/>
        <w:numId w:val="2"/>
      </w:numPr>
      <w:contextualSpacing/>
    </w:pPr>
    <w:rPr>
      <w:rFonts w:ascii="Times New Roman" w:hAnsi="Times New Roman" w:eastAsia="Times New Roman" w:cs="Times New Roman"/>
      <w:color w:val="000000"/>
    </w:rPr>
  </w:style>
  <w:style w:type="paragraph" w:styleId="15">
    <w:name w:val="caption"/>
    <w:basedOn w:val="1"/>
    <w:next w:val="1"/>
    <w:semiHidden/>
    <w:unhideWhenUsed/>
    <w:qFormat/>
    <w:uiPriority w:val="35"/>
    <w:pPr>
      <w:widowControl/>
      <w:spacing w:before="0" w:after="0" w:line="480" w:lineRule="auto"/>
    </w:pPr>
    <w:rPr>
      <w:rFonts w:ascii="Times New Roman" w:hAnsi="Times New Roman" w:eastAsia="Times New Roman" w:cs="Times New Roman"/>
      <w:b/>
      <w:bCs/>
      <w:color w:val="000000"/>
      <w:sz w:val="24"/>
      <w:szCs w:val="18"/>
    </w:rPr>
  </w:style>
  <w:style w:type="paragraph" w:styleId="16">
    <w:name w:val="List Bullet"/>
    <w:basedOn w:val="1"/>
    <w:unhideWhenUsed/>
    <w:uiPriority w:val="99"/>
    <w:pPr>
      <w:numPr>
        <w:ilvl w:val="0"/>
        <w:numId w:val="3"/>
      </w:numPr>
      <w:contextualSpacing/>
    </w:pPr>
    <w:rPr>
      <w:rFonts w:ascii="Times New Roman" w:hAnsi="Times New Roman" w:eastAsia="Times New Roman" w:cs="Times New Roman"/>
      <w:color w:val="000000"/>
    </w:rPr>
  </w:style>
  <w:style w:type="paragraph" w:styleId="17">
    <w:name w:val="Body Text 3"/>
    <w:basedOn w:val="1"/>
    <w:link w:val="146"/>
    <w:unhideWhenUsed/>
    <w:uiPriority w:val="99"/>
    <w:pPr>
      <w:spacing w:after="120"/>
    </w:pPr>
    <w:rPr>
      <w:rFonts w:ascii="Times New Roman" w:hAnsi="Times New Roman" w:eastAsia="Times New Roman" w:cs="Times New Roman"/>
      <w:color w:val="000000"/>
      <w:sz w:val="16"/>
      <w:szCs w:val="16"/>
    </w:rPr>
  </w:style>
  <w:style w:type="paragraph" w:styleId="18">
    <w:name w:val="List Bullet 3"/>
    <w:basedOn w:val="1"/>
    <w:unhideWhenUsed/>
    <w:uiPriority w:val="99"/>
    <w:pPr>
      <w:numPr>
        <w:ilvl w:val="0"/>
        <w:numId w:val="4"/>
      </w:numPr>
      <w:contextualSpacing/>
    </w:pPr>
    <w:rPr>
      <w:rFonts w:ascii="Times New Roman" w:hAnsi="Times New Roman" w:eastAsia="Times New Roman" w:cs="Times New Roman"/>
      <w:color w:val="000000"/>
    </w:rPr>
  </w:style>
  <w:style w:type="paragraph" w:styleId="19">
    <w:name w:val="Body Text"/>
    <w:basedOn w:val="1"/>
    <w:link w:val="144"/>
    <w:unhideWhenUsed/>
    <w:uiPriority w:val="99"/>
    <w:pPr>
      <w:spacing w:after="120"/>
    </w:pPr>
    <w:rPr>
      <w:rFonts w:ascii="Times New Roman" w:hAnsi="Times New Roman" w:eastAsia="Times New Roman" w:cs="Times New Roman"/>
      <w:color w:val="000000"/>
    </w:rPr>
  </w:style>
  <w:style w:type="paragraph" w:styleId="20">
    <w:name w:val="List Number 3"/>
    <w:basedOn w:val="1"/>
    <w:unhideWhenUsed/>
    <w:uiPriority w:val="99"/>
    <w:pPr>
      <w:numPr>
        <w:ilvl w:val="0"/>
        <w:numId w:val="5"/>
      </w:numPr>
      <w:contextualSpacing/>
    </w:pPr>
    <w:rPr>
      <w:rFonts w:ascii="Times New Roman" w:hAnsi="Times New Roman" w:eastAsia="Times New Roman" w:cs="Times New Roman"/>
      <w:color w:val="000000"/>
    </w:rPr>
  </w:style>
  <w:style w:type="paragraph" w:styleId="21">
    <w:name w:val="List 2"/>
    <w:basedOn w:val="1"/>
    <w:unhideWhenUsed/>
    <w:uiPriority w:val="99"/>
    <w:pPr>
      <w:ind w:left="720" w:hanging="360"/>
      <w:contextualSpacing/>
    </w:pPr>
    <w:rPr>
      <w:rFonts w:ascii="Times New Roman" w:hAnsi="Times New Roman" w:eastAsia="Times New Roman" w:cs="Times New Roman"/>
      <w:color w:val="000000"/>
    </w:rPr>
  </w:style>
  <w:style w:type="paragraph" w:styleId="22">
    <w:name w:val="List Continue"/>
    <w:basedOn w:val="1"/>
    <w:unhideWhenUsed/>
    <w:uiPriority w:val="99"/>
    <w:pPr>
      <w:spacing w:after="120"/>
      <w:ind w:left="360"/>
      <w:contextualSpacing/>
    </w:pPr>
    <w:rPr>
      <w:rFonts w:ascii="Times New Roman" w:hAnsi="Times New Roman" w:eastAsia="Times New Roman" w:cs="Times New Roman"/>
      <w:color w:val="000000"/>
    </w:rPr>
  </w:style>
  <w:style w:type="paragraph" w:styleId="23">
    <w:name w:val="List Bullet 2"/>
    <w:basedOn w:val="1"/>
    <w:unhideWhenUsed/>
    <w:uiPriority w:val="99"/>
    <w:pPr>
      <w:numPr>
        <w:ilvl w:val="0"/>
        <w:numId w:val="6"/>
      </w:numPr>
      <w:contextualSpacing/>
    </w:pPr>
    <w:rPr>
      <w:rFonts w:ascii="Times New Roman" w:hAnsi="Times New Roman" w:eastAsia="Times New Roman" w:cs="Times New Roman"/>
      <w:color w:val="000000"/>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Times New Roman" w:cs="Times New Roman"/>
      <w:color w:val="000000"/>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Times New Roman" w:cs="Times New Roman"/>
      <w:color w:val="000000"/>
    </w:rPr>
  </w:style>
  <w:style w:type="paragraph" w:styleId="26">
    <w:name w:val="Subtitle"/>
    <w:basedOn w:val="1"/>
    <w:next w:val="1"/>
    <w:link w:val="142"/>
    <w:qFormat/>
    <w:uiPriority w:val="11"/>
    <w:pPr>
      <w:widowControl/>
      <w:spacing w:before="0" w:after="0" w:line="480" w:lineRule="auto"/>
    </w:pPr>
    <w:rPr>
      <w:rFonts w:ascii="Times New Roman" w:hAnsi="Times New Roman" w:eastAsia="Times New Roman" w:cs="Times New Roman"/>
      <w:i/>
      <w:iCs/>
      <w:color w:val="000000"/>
      <w:spacing w:val="15"/>
      <w:sz w:val="24"/>
      <w:szCs w:val="24"/>
    </w:rPr>
  </w:style>
  <w:style w:type="paragraph" w:styleId="27">
    <w:name w:val="List"/>
    <w:basedOn w:val="1"/>
    <w:unhideWhenUsed/>
    <w:uiPriority w:val="99"/>
    <w:pPr>
      <w:ind w:left="360" w:hanging="360"/>
      <w:contextualSpacing/>
    </w:pPr>
    <w:rPr>
      <w:rFonts w:ascii="Times New Roman" w:hAnsi="Times New Roman" w:eastAsia="Times New Roman" w:cs="Times New Roman"/>
      <w:color w:val="000000"/>
    </w:rPr>
  </w:style>
  <w:style w:type="paragraph" w:styleId="28">
    <w:name w:val="Body Text 2"/>
    <w:basedOn w:val="1"/>
    <w:link w:val="145"/>
    <w:unhideWhenUsed/>
    <w:uiPriority w:val="99"/>
    <w:pPr>
      <w:spacing w:after="120" w:line="480" w:lineRule="auto"/>
    </w:pPr>
    <w:rPr>
      <w:rFonts w:ascii="Times New Roman" w:hAnsi="Times New Roman" w:eastAsia="Times New Roman" w:cs="Times New Roman"/>
      <w:color w:val="000000"/>
    </w:rPr>
  </w:style>
  <w:style w:type="paragraph" w:styleId="29">
    <w:name w:val="List Continue 2"/>
    <w:basedOn w:val="1"/>
    <w:unhideWhenUsed/>
    <w:uiPriority w:val="99"/>
    <w:pPr>
      <w:spacing w:after="120"/>
      <w:ind w:left="720"/>
      <w:contextualSpacing/>
    </w:pPr>
    <w:rPr>
      <w:rFonts w:ascii="Times New Roman" w:hAnsi="Times New Roman" w:eastAsia="Times New Roman" w:cs="Times New Roman"/>
      <w:color w:val="000000"/>
    </w:rPr>
  </w:style>
  <w:style w:type="paragraph" w:styleId="30">
    <w:name w:val="List Continue 3"/>
    <w:basedOn w:val="1"/>
    <w:unhideWhenUsed/>
    <w:uiPriority w:val="99"/>
    <w:pPr>
      <w:spacing w:after="120"/>
      <w:ind w:left="1080"/>
      <w:contextualSpacing/>
    </w:pPr>
    <w:rPr>
      <w:rFonts w:ascii="Times New Roman" w:hAnsi="Times New Roman" w:eastAsia="Times New Roman" w:cs="Times New Roman"/>
      <w:color w:val="000000"/>
    </w:rPr>
  </w:style>
  <w:style w:type="paragraph" w:styleId="31">
    <w:name w:val="Title"/>
    <w:basedOn w:val="1"/>
    <w:next w:val="1"/>
    <w:link w:val="141"/>
    <w:qFormat/>
    <w:uiPriority w:val="10"/>
    <w:pPr>
      <w:widowControl/>
      <w:spacing w:before="0" w:after="0" w:line="480" w:lineRule="auto"/>
      <w:ind w:firstLine="0"/>
      <w:contextualSpacing/>
    </w:pPr>
    <w:rPr>
      <w:rFonts w:ascii="Times New Roman" w:hAnsi="Times New Roman" w:eastAsia="Times New Roman" w:cs="Times New Roman"/>
      <w:b/>
      <w:color w:val="000000"/>
      <w:spacing w:val="5"/>
      <w:kern w:val="28"/>
      <w:sz w:val="32"/>
      <w:szCs w:val="52"/>
    </w:rPr>
  </w:style>
  <w:style w:type="table" w:styleId="33">
    <w:name w:val="Table Grid"/>
    <w:basedOn w:val="32"/>
    <w:uiPriority w:val="59"/>
    <w:pPr>
      <w:spacing w:after="0" w:line="240" w:lineRule="auto"/>
    </w:pPr>
    <w:rPr>
      <w:rFonts w:ascii="Times New Roman" w:hAnsi="Times New Roman" w:eastAsia="Times New Roman" w:cs="Times New Roman"/>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ascii="Times New Roman" w:hAnsi="Times New Roman" w:eastAsia="Times New Roman" w:cs="Times New Roman"/>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ascii="Times New Roman" w:hAnsi="Times New Roman" w:eastAsia="Times New Roman" w:cs="Times New Roman"/>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ascii="Times New Roman" w:hAnsi="Times New Roman" w:eastAsia="Times New Roman" w:cs="Times New Roman"/>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ascii="Times New Roman" w:hAnsi="Times New Roman" w:eastAsia="Times New Roman" w:cs="Times New Roman"/>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ascii="Times New Roman" w:hAnsi="Times New Roman" w:eastAsia="Times New Roman" w:cs="Times New Roman"/>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ascii="Times New Roman" w:hAnsi="Times New Roman" w:eastAsia="Times New Roman" w:cs="Times New Roman"/>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ascii="Times New Roman" w:hAnsi="Times New Roman" w:eastAsia="Times New Roman" w:cs="Times New Roman"/>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rPr>
      <w:rFonts w:ascii="Times New Roman" w:hAnsi="Times New Roman" w:eastAsia="Times New Roman"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rPr>
      <w:rFonts w:ascii="Times New Roman" w:hAnsi="Times New Roman" w:eastAsia="Times New Roman"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rPr>
      <w:rFonts w:ascii="Times New Roman" w:hAnsi="Times New Roman" w:eastAsia="Times New Roman"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rPr>
      <w:rFonts w:ascii="Times New Roman" w:hAnsi="Times New Roman" w:eastAsia="Times New Roman"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rPr>
      <w:rFonts w:ascii="Times New Roman" w:hAnsi="Times New Roman" w:eastAsia="Times New Roman"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rPr>
      <w:rFonts w:ascii="Times New Roman" w:hAnsi="Times New Roman" w:eastAsia="Times New Roman"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rPr>
      <w:rFonts w:ascii="Times New Roman" w:hAnsi="Times New Roman" w:eastAsia="Times New Roman"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rPr>
      <w:rFonts w:ascii="Times New Roman" w:hAnsi="Times New Roman" w:eastAsia="Times New Roman"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rPr>
      <w:rFonts w:ascii="Times New Roman" w:hAnsi="Times New Roman" w:eastAsia="Times New Roman"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rPr>
      <w:rFonts w:ascii="Times New Roman" w:hAnsi="Times New Roman" w:eastAsia="Times New Roman"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rPr>
      <w:rFonts w:ascii="Times New Roman" w:hAnsi="Times New Roman" w:eastAsia="Times New Roman"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rPr>
      <w:rFonts w:ascii="Times New Roman" w:hAnsi="Times New Roman" w:eastAsia="Times New Roman"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rPr>
      <w:rFonts w:ascii="Times New Roman" w:hAnsi="Times New Roman" w:eastAsia="Times New Roman"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rPr>
      <w:rFonts w:ascii="Times New Roman" w:hAnsi="Times New Roman" w:eastAsia="Times New Roman"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rPr>
      <w:rFonts w:ascii="Times New Roman" w:hAnsi="Times New Roman" w:eastAsia="Times New Roman" w:cs="Times New Roman"/>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rPr>
      <w:rFonts w:ascii="Times New Roman" w:hAnsi="Times New Roman" w:eastAsia="Times New Roman" w:cs="Times New Roman"/>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rPr>
      <w:rFonts w:ascii="Times New Roman" w:hAnsi="Times New Roman" w:eastAsia="Times New Roman" w:cs="Times New Roman"/>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Times New Roman" w:hAnsi="Times New Roman" w:eastAsia="Times New Roman" w:cs="Times New Roman"/>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rPr>
      <w:rFonts w:ascii="Times New Roman" w:hAnsi="Times New Roman" w:eastAsia="Times New Roman" w:cs="Times New Roman"/>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Times New Roman" w:hAnsi="Times New Roman" w:eastAsia="Times New Roman" w:cs="Times New Roman"/>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rPr>
      <w:rFonts w:ascii="Times New Roman" w:hAnsi="Times New Roman" w:eastAsia="Times New Roman" w:cs="Times New Roman"/>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Times New Roman" w:hAnsi="Times New Roman" w:eastAsia="Times New Roman" w:cs="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rPr>
      <w:rFonts w:ascii="Times New Roman" w:hAnsi="Times New Roman" w:eastAsia="Times New Roman" w:cs="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Times New Roman" w:hAnsi="Times New Roman" w:eastAsia="Times New Roman" w:cs="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rPr>
      <w:rFonts w:ascii="Times New Roman" w:hAnsi="Times New Roman" w:eastAsia="Times New Roman" w:cs="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rPr>
      <w:rFonts w:ascii="Times New Roman" w:hAnsi="Times New Roman" w:eastAsia="Times New Roman" w:cs="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Times New Roman" w:hAnsi="Times New Roman" w:eastAsia="Times New Roman" w:cs="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Times New Roman" w:hAnsi="Times New Roman" w:eastAsia="Times New Roman" w:cs="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eastAsia="Times New Roman" w:cs="Times New Roman"/>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000000" w:themeColor="text1" w:sz="8" w:space="0"/>
        </w:tcBorders>
      </w:tcPr>
    </w:tblStylePr>
    <w:tblStylePr w:type="lastRow">
      <w:rPr>
        <w:b/>
        <w:bCs/>
        <w:color w:val="000000"/>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ascii="Times New Roman" w:hAnsi="Times New Roman" w:eastAsia="Times New Roman" w:cs="Times New Roman"/>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4F81BD" w:themeColor="accent1" w:sz="8" w:space="0"/>
        </w:tcBorders>
      </w:tcPr>
    </w:tblStylePr>
    <w:tblStylePr w:type="lastRow">
      <w:rPr>
        <w:b/>
        <w:bCs/>
        <w:color w:val="000000"/>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ascii="Times New Roman" w:hAnsi="Times New Roman" w:eastAsia="Times New Roman" w:cs="Times New Roman"/>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C0504D" w:themeColor="accent2" w:sz="8" w:space="0"/>
        </w:tcBorders>
      </w:tcPr>
    </w:tblStylePr>
    <w:tblStylePr w:type="lastRow">
      <w:rPr>
        <w:b/>
        <w:bCs/>
        <w:color w:val="000000"/>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ascii="Times New Roman" w:hAnsi="Times New Roman" w:eastAsia="Times New Roman" w:cs="Times New Roman"/>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9BBB59" w:themeColor="accent3" w:sz="8" w:space="0"/>
        </w:tcBorders>
      </w:tcPr>
    </w:tblStylePr>
    <w:tblStylePr w:type="lastRow">
      <w:rPr>
        <w:b/>
        <w:bCs/>
        <w:color w:val="000000"/>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ascii="Times New Roman" w:hAnsi="Times New Roman" w:eastAsia="Times New Roman" w:cs="Times New Roman"/>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8064A2" w:themeColor="accent4" w:sz="8" w:space="0"/>
        </w:tcBorders>
      </w:tcPr>
    </w:tblStylePr>
    <w:tblStylePr w:type="lastRow">
      <w:rPr>
        <w:b/>
        <w:bCs/>
        <w:color w:val="000000"/>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rFonts w:ascii="Times New Roman" w:hAnsi="Times New Roman" w:eastAsia="Times New Roman" w:cs="Times New Roman"/>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4BACC6" w:themeColor="accent5" w:sz="8" w:space="0"/>
        </w:tcBorders>
      </w:tcPr>
    </w:tblStylePr>
    <w:tblStylePr w:type="lastRow">
      <w:rPr>
        <w:b/>
        <w:bCs/>
        <w:color w:val="000000"/>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eastAsia="Times New Roman" w:cs="Times New Roman"/>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F79646" w:themeColor="accent6" w:sz="8" w:space="0"/>
        </w:tcBorders>
      </w:tcPr>
    </w:tblStylePr>
    <w:tblStylePr w:type="lastRow">
      <w:rPr>
        <w:b/>
        <w:bCs/>
        <w:color w:val="000000"/>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imes New Roman" w:hAnsi="Times New Roman" w:eastAsia="Times New Roman"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imes New Roman" w:hAnsi="Times New Roman" w:eastAsia="Times New Roman"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imes New Roman" w:hAnsi="Times New Roman" w:eastAsia="Times New Roman"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imes New Roman" w:hAnsi="Times New Roman" w:eastAsia="Times New Roman"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imes New Roman" w:hAnsi="Times New Roman" w:eastAsia="Times New Roman"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imes New Roman" w:hAnsi="Times New Roman" w:eastAsia="Times New Roman"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imes New Roman" w:hAnsi="Times New Roman" w:eastAsia="Times New Roman"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rPr>
      <w:rFonts w:ascii="Times New Roman" w:hAnsi="Times New Roman" w:eastAsia="Times New Roman" w:cs="Times New Roman"/>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rPr>
      <w:rFonts w:ascii="Times New Roman" w:hAnsi="Times New Roman" w:eastAsia="Times New Roman" w:cs="Times New Roman"/>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Times New Roman" w:hAnsi="Times New Roman" w:eastAsia="Times New Roman" w:cs="Times New Roman"/>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rPr>
      <w:rFonts w:ascii="Times New Roman" w:hAnsi="Times New Roman" w:eastAsia="Times New Roman" w:cs="Times New Roman"/>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Times New Roman" w:hAnsi="Times New Roman" w:eastAsia="Times New Roman" w:cs="Times New Roman"/>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rPr>
      <w:rFonts w:ascii="Times New Roman" w:hAnsi="Times New Roman" w:eastAsia="Times New Roman" w:cs="Times New Roman"/>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rPr>
      <w:rFonts w:ascii="Times New Roman" w:hAnsi="Times New Roman" w:eastAsia="Times New Roman" w:cs="Times New Roman"/>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imes New Roman" w:hAnsi="Times New Roman" w:eastAsia="Times New Roman"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imes New Roman" w:hAnsi="Times New Roman" w:eastAsia="Times New Roman"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imes New Roman" w:hAnsi="Times New Roman" w:eastAsia="Times New Roman"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imes New Roman" w:hAnsi="Times New Roman" w:eastAsia="Times New Roman"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imes New Roman" w:hAnsi="Times New Roman" w:eastAsia="Times New Roman"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imes New Roman" w:hAnsi="Times New Roman" w:eastAsia="Times New Roman"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imes New Roman" w:hAnsi="Times New Roman" w:eastAsia="Times New Roman"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Times New Roman" w:hAnsi="Times New Roman" w:eastAsia="Times New Roman" w:cs="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rPr>
      <w:rFonts w:ascii="Times New Roman" w:hAnsi="Times New Roman" w:eastAsia="Times New Roman" w:cs="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rPr>
      <w:rFonts w:ascii="Times New Roman" w:hAnsi="Times New Roman" w:eastAsia="Times New Roman" w:cs="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rPr>
      <w:rFonts w:ascii="Times New Roman" w:hAnsi="Times New Roman" w:eastAsia="Times New Roman" w:cs="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rPr>
      <w:rFonts w:ascii="Times New Roman" w:hAnsi="Times New Roman" w:eastAsia="Times New Roman" w:cs="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Times New Roman" w:hAnsi="Times New Roman" w:eastAsia="Times New Roman" w:cs="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rPr>
      <w:rFonts w:ascii="Times New Roman" w:hAnsi="Times New Roman" w:eastAsia="Times New Roman" w:cs="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ascii="Times New Roman" w:hAnsi="Times New Roman" w:eastAsia="Times New Roman" w:cs="Times New Roman"/>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000000" w:themeFill="text1" w:themeFillShade="99"/>
      </w:tcPr>
    </w:tblStylePr>
    <w:tblStylePr w:type="firstCol">
      <w:rPr>
        <w:color w:val="000000"/>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112">
    <w:name w:val="Colorful Shading Accent 1"/>
    <w:basedOn w:val="32"/>
    <w:uiPriority w:val="71"/>
    <w:pPr>
      <w:spacing w:after="0" w:line="240" w:lineRule="auto"/>
    </w:pPr>
    <w:rPr>
      <w:rFonts w:ascii="Times New Roman" w:hAnsi="Times New Roman" w:eastAsia="Times New Roman" w:cs="Times New Roman"/>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2B4D74" w:themeFill="accent1" w:themeFillShade="99"/>
      </w:tcPr>
    </w:tblStylePr>
    <w:tblStylePr w:type="firstCol">
      <w:rPr>
        <w:color w:val="000000"/>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000000"/>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113">
    <w:name w:val="Colorful Shading Accent 2"/>
    <w:basedOn w:val="32"/>
    <w:uiPriority w:val="71"/>
    <w:pPr>
      <w:spacing w:after="0" w:line="240" w:lineRule="auto"/>
    </w:pPr>
    <w:rPr>
      <w:rFonts w:ascii="Times New Roman" w:hAnsi="Times New Roman" w:eastAsia="Times New Roman" w:cs="Times New Roman"/>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772C2A" w:themeFill="accent2" w:themeFillShade="99"/>
      </w:tcPr>
    </w:tblStylePr>
    <w:tblStylePr w:type="firstCol">
      <w:rPr>
        <w:color w:val="000000"/>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114">
    <w:name w:val="Colorful Shading Accent 3"/>
    <w:basedOn w:val="32"/>
    <w:uiPriority w:val="71"/>
    <w:pPr>
      <w:spacing w:after="0" w:line="240" w:lineRule="auto"/>
    </w:pPr>
    <w:rPr>
      <w:rFonts w:ascii="Times New Roman" w:hAnsi="Times New Roman" w:eastAsia="Times New Roman" w:cs="Times New Roman"/>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5E7530" w:themeFill="accent3" w:themeFillShade="99"/>
      </w:tcPr>
    </w:tblStylePr>
    <w:tblStylePr w:type="firstCol">
      <w:rPr>
        <w:color w:val="000000"/>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rFonts w:ascii="Times New Roman" w:hAnsi="Times New Roman" w:eastAsia="Times New Roman" w:cs="Times New Roman"/>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4C3A62" w:themeFill="accent4" w:themeFillShade="99"/>
      </w:tcPr>
    </w:tblStylePr>
    <w:tblStylePr w:type="firstCol">
      <w:rPr>
        <w:color w:val="000000"/>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000000"/>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116">
    <w:name w:val="Colorful Shading Accent 5"/>
    <w:basedOn w:val="32"/>
    <w:uiPriority w:val="71"/>
    <w:pPr>
      <w:spacing w:after="0" w:line="240" w:lineRule="auto"/>
    </w:pPr>
    <w:rPr>
      <w:rFonts w:ascii="Times New Roman" w:hAnsi="Times New Roman" w:eastAsia="Times New Roman" w:cs="Times New Roman"/>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276A7C" w:themeFill="accent5" w:themeFillShade="99"/>
      </w:tcPr>
    </w:tblStylePr>
    <w:tblStylePr w:type="firstCol">
      <w:rPr>
        <w:color w:val="000000"/>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117">
    <w:name w:val="Colorful Shading Accent 6"/>
    <w:basedOn w:val="32"/>
    <w:uiPriority w:val="71"/>
    <w:pPr>
      <w:spacing w:after="0" w:line="240" w:lineRule="auto"/>
    </w:pPr>
    <w:rPr>
      <w:rFonts w:ascii="Times New Roman" w:hAnsi="Times New Roman" w:eastAsia="Times New Roman" w:cs="Times New Roman"/>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B65607" w:themeFill="accent6" w:themeFillShade="99"/>
      </w:tcPr>
    </w:tblStylePr>
    <w:tblStylePr w:type="firstCol">
      <w:rPr>
        <w:color w:val="000000"/>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000000"/>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118">
    <w:name w:val="Colorful List"/>
    <w:basedOn w:val="32"/>
    <w:uiPriority w:val="72"/>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auto" w:fill="E5E5E5" w:themeFill="text1"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color="FFFFFF" w:themeColor="background1" w:sz="12" w:space="0"/>
        </w:tcBorders>
        <w:shd w:val="clear" w:color="auto" w:fill="664E82" w:themeFill="accent4"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auto" w:fill="F2EFF5" w:themeFill="accent4" w:themeFillTint="19"/>
    </w:tcPr>
    <w:tblStylePr w:type="firstRow">
      <w:rPr>
        <w:b/>
        <w:bCs/>
        <w:color w:val="000000"/>
      </w:rPr>
      <w:tblPr/>
      <w:tcPr>
        <w:tcBorders>
          <w:bottom w:val="single" w:color="FFFFFF" w:themeColor="background1" w:sz="12" w:space="0"/>
        </w:tcBorders>
        <w:shd w:val="clear" w:color="auto" w:fill="7E9C40" w:themeFill="accent3"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color="FFFFFF" w:themeColor="background1" w:sz="12" w:space="0"/>
        </w:tcBorders>
        <w:shd w:val="clear" w:color="auto" w:fill="F3730A" w:themeFill="accent6"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color="FFFFFF" w:themeColor="background1" w:sz="12" w:space="0"/>
        </w:tcBorders>
        <w:shd w:val="clear" w:color="auto" w:fill="348DA5" w:themeFill="accent5"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eastAsia="Times New Roman" w:cs="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eastAsia="Times New Roman" w:cs="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6091" w:themeFill="accent1" w:themeFillShade="BF"/>
      </w:tcPr>
    </w:tblStylePr>
    <w:tblStylePr w:type="lastCol">
      <w:rPr>
        <w:color w:val="000000"/>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eastAsia="Times New Roman" w:cs="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734" w:themeFill="accent2" w:themeFillShade="BF"/>
      </w:tcPr>
    </w:tblStylePr>
    <w:tblStylePr w:type="lastCol">
      <w:rPr>
        <w:color w:val="000000"/>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eastAsia="Times New Roman" w:cs="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rFonts w:ascii="Times New Roman" w:hAnsi="Times New Roman" w:eastAsia="Times New Roman" w:cs="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rFonts w:ascii="Times New Roman" w:hAnsi="Times New Roman" w:eastAsia="Times New Roman" w:cs="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eastAsia="Times New Roman" w:cs="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9" w:themeFill="accent6" w:themeFillShade="BF"/>
      </w:tcPr>
    </w:tblStylePr>
    <w:tblStylePr w:type="lastCol">
      <w:rPr>
        <w:color w:val="000000"/>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Times New Roman" w:hAnsi="Times New Roman" w:eastAsia="Times New Roman" w:cs="Times New Roman"/>
      <w:b/>
      <w:bCs/>
      <w:color w:val="000000"/>
    </w:rPr>
  </w:style>
  <w:style w:type="character" w:styleId="134">
    <w:name w:val="Emphasis"/>
    <w:basedOn w:val="132"/>
    <w:qFormat/>
    <w:uiPriority w:val="20"/>
    <w:rPr>
      <w:rFonts w:ascii="Times New Roman" w:hAnsi="Times New Roman" w:eastAsia="Times New Roman" w:cs="Times New Roman"/>
      <w:i/>
      <w:iCs/>
      <w:color w:val="000000"/>
    </w:rPr>
  </w:style>
  <w:style w:type="character" w:customStyle="1" w:styleId="135">
    <w:name w:val="Header Char"/>
    <w:basedOn w:val="132"/>
    <w:link w:val="25"/>
    <w:uiPriority w:val="99"/>
    <w:rPr>
      <w:rFonts w:ascii="Times New Roman" w:hAnsi="Times New Roman" w:eastAsia="Times New Roman" w:cs="Times New Roman"/>
      <w:color w:val="000000"/>
    </w:rPr>
  </w:style>
  <w:style w:type="character" w:customStyle="1" w:styleId="136">
    <w:name w:val="Footer Char"/>
    <w:basedOn w:val="132"/>
    <w:link w:val="24"/>
    <w:uiPriority w:val="99"/>
    <w:rPr>
      <w:rFonts w:ascii="Times New Roman" w:hAnsi="Times New Roman" w:eastAsia="Times New Roman" w:cs="Times New Roman"/>
      <w:color w:val="000000"/>
    </w:rPr>
  </w:style>
  <w:style w:type="paragraph" w:styleId="137">
    <w:name w:val="No Spacing"/>
    <w:qFormat/>
    <w:uiPriority w:val="1"/>
    <w:pPr>
      <w:spacing w:after="0" w:line="240" w:lineRule="auto"/>
    </w:pPr>
    <w:rPr>
      <w:rFonts w:ascii="Times New Roman" w:hAnsi="Times New Roman" w:eastAsia="Times New Roman" w:cs="Times New Roman"/>
      <w:color w:val="000000"/>
      <w:sz w:val="22"/>
      <w:szCs w:val="22"/>
      <w:lang w:val="en-US" w:eastAsia="en-US" w:bidi="ar-SA"/>
    </w:rPr>
  </w:style>
  <w:style w:type="character" w:customStyle="1" w:styleId="138">
    <w:name w:val="Heading 1 Char"/>
    <w:basedOn w:val="132"/>
    <w:link w:val="3"/>
    <w:uiPriority w:val="9"/>
    <w:rPr>
      <w:rFonts w:ascii="Times New Roman" w:hAnsi="Times New Roman" w:eastAsia="Times New Roman" w:cs="Times New Roman"/>
      <w:b/>
      <w:bCs/>
      <w:color w:val="000000"/>
      <w:sz w:val="28"/>
      <w:szCs w:val="28"/>
    </w:rPr>
  </w:style>
  <w:style w:type="character" w:customStyle="1" w:styleId="139">
    <w:name w:val="Heading 2 Char"/>
    <w:basedOn w:val="132"/>
    <w:link w:val="4"/>
    <w:uiPriority w:val="9"/>
    <w:rPr>
      <w:rFonts w:ascii="Times New Roman" w:hAnsi="Times New Roman" w:eastAsia="Times New Roman" w:cs="Times New Roman"/>
      <w:b/>
      <w:bCs/>
      <w:color w:val="000000"/>
      <w:sz w:val="26"/>
      <w:szCs w:val="26"/>
    </w:rPr>
  </w:style>
  <w:style w:type="character" w:customStyle="1" w:styleId="140">
    <w:name w:val="Heading 3 Char"/>
    <w:basedOn w:val="132"/>
    <w:link w:val="5"/>
    <w:uiPriority w:val="9"/>
    <w:rPr>
      <w:rFonts w:ascii="Times New Roman" w:hAnsi="Times New Roman" w:eastAsia="Times New Roman" w:cs="Times New Roman"/>
      <w:b/>
      <w:bCs/>
      <w:color w:val="000000"/>
    </w:rPr>
  </w:style>
  <w:style w:type="character" w:customStyle="1" w:styleId="141">
    <w:name w:val="Title Char"/>
    <w:basedOn w:val="132"/>
    <w:link w:val="31"/>
    <w:uiPriority w:val="10"/>
    <w:rPr>
      <w:rFonts w:ascii="Times New Roman" w:hAnsi="Times New Roman" w:eastAsia="Times New Roman" w:cs="Times New Roman"/>
      <w:color w:val="000000"/>
      <w:spacing w:val="5"/>
      <w:kern w:val="28"/>
      <w:sz w:val="52"/>
      <w:szCs w:val="52"/>
    </w:rPr>
  </w:style>
  <w:style w:type="character" w:customStyle="1" w:styleId="142">
    <w:name w:val="Subtitle Char"/>
    <w:basedOn w:val="132"/>
    <w:link w:val="26"/>
    <w:uiPriority w:val="11"/>
    <w:rPr>
      <w:rFonts w:ascii="Times New Roman" w:hAnsi="Times New Roman" w:eastAsia="Times New Roman" w:cs="Times New Roman"/>
      <w:i/>
      <w:iCs/>
      <w:color w:val="000000"/>
      <w:spacing w:val="15"/>
      <w:sz w:val="24"/>
      <w:szCs w:val="24"/>
    </w:rPr>
  </w:style>
  <w:style w:type="paragraph" w:styleId="143">
    <w:name w:val="List Paragraph"/>
    <w:basedOn w:val="1"/>
    <w:qFormat/>
    <w:uiPriority w:val="34"/>
    <w:pPr>
      <w:ind w:left="720"/>
      <w:contextualSpacing/>
    </w:pPr>
    <w:rPr>
      <w:rFonts w:ascii="Times New Roman" w:hAnsi="Times New Roman" w:eastAsia="Times New Roman" w:cs="Times New Roman"/>
      <w:color w:val="000000"/>
    </w:rPr>
  </w:style>
  <w:style w:type="character" w:customStyle="1" w:styleId="144">
    <w:name w:val="Body Text Char"/>
    <w:basedOn w:val="132"/>
    <w:link w:val="19"/>
    <w:uiPriority w:val="99"/>
    <w:rPr>
      <w:rFonts w:ascii="Times New Roman" w:hAnsi="Times New Roman" w:eastAsia="Times New Roman" w:cs="Times New Roman"/>
      <w:color w:val="000000"/>
    </w:rPr>
  </w:style>
  <w:style w:type="character" w:customStyle="1" w:styleId="145">
    <w:name w:val="Body Text 2 Char"/>
    <w:basedOn w:val="132"/>
    <w:link w:val="28"/>
    <w:uiPriority w:val="99"/>
    <w:rPr>
      <w:rFonts w:ascii="Times New Roman" w:hAnsi="Times New Roman" w:eastAsia="Times New Roman" w:cs="Times New Roman"/>
      <w:color w:val="000000"/>
    </w:rPr>
  </w:style>
  <w:style w:type="character" w:customStyle="1" w:styleId="146">
    <w:name w:val="Body Text 3 Char"/>
    <w:basedOn w:val="132"/>
    <w:link w:val="17"/>
    <w:uiPriority w:val="99"/>
    <w:rPr>
      <w:rFonts w:ascii="Times New Roman" w:hAnsi="Times New Roman" w:eastAsia="Times New Roman" w:cs="Times New Roman"/>
      <w:color w:val="000000"/>
      <w:sz w:val="16"/>
      <w:szCs w:val="16"/>
    </w:rPr>
  </w:style>
  <w:style w:type="character" w:customStyle="1" w:styleId="147">
    <w:name w:val="Macro Text Char"/>
    <w:basedOn w:val="132"/>
    <w:link w:val="2"/>
    <w:uiPriority w:val="99"/>
    <w:rPr>
      <w:rFonts w:ascii="Times New Roman" w:hAnsi="Times New Roman" w:eastAsia="Times New Roman" w:cs="Times New Roman"/>
      <w:color w:val="000000"/>
      <w:sz w:val="20"/>
      <w:szCs w:val="20"/>
    </w:rPr>
  </w:style>
  <w:style w:type="paragraph" w:styleId="148">
    <w:name w:val="Quote"/>
    <w:basedOn w:val="1"/>
    <w:next w:val="1"/>
    <w:link w:val="149"/>
    <w:qFormat/>
    <w:uiPriority w:val="29"/>
    <w:rPr>
      <w:rFonts w:ascii="Times New Roman" w:hAnsi="Times New Roman" w:eastAsia="Times New Roman" w:cs="Times New Roman"/>
      <w:i/>
      <w:iCs/>
      <w:color w:val="000000"/>
    </w:rPr>
  </w:style>
  <w:style w:type="character" w:customStyle="1" w:styleId="149">
    <w:name w:val="Quote Char"/>
    <w:basedOn w:val="132"/>
    <w:link w:val="148"/>
    <w:uiPriority w:val="29"/>
    <w:rPr>
      <w:rFonts w:ascii="Times New Roman" w:hAnsi="Times New Roman" w:eastAsia="Times New Roman" w:cs="Times New Roman"/>
      <w:i/>
      <w:iCs/>
      <w:color w:val="000000"/>
    </w:rPr>
  </w:style>
  <w:style w:type="character" w:customStyle="1" w:styleId="150">
    <w:name w:val="Heading 4 Char"/>
    <w:basedOn w:val="132"/>
    <w:link w:val="6"/>
    <w:semiHidden/>
    <w:uiPriority w:val="9"/>
    <w:rPr>
      <w:rFonts w:ascii="Times New Roman" w:hAnsi="Times New Roman" w:eastAsia="Times New Roman" w:cs="Times New Roman"/>
      <w:b/>
      <w:bCs/>
      <w:i/>
      <w:iCs/>
      <w:color w:val="000000"/>
    </w:rPr>
  </w:style>
  <w:style w:type="character" w:customStyle="1" w:styleId="151">
    <w:name w:val="Heading 5 Char"/>
    <w:basedOn w:val="132"/>
    <w:link w:val="7"/>
    <w:semiHidden/>
    <w:uiPriority w:val="9"/>
    <w:rPr>
      <w:rFonts w:ascii="Times New Roman" w:hAnsi="Times New Roman" w:eastAsia="Times New Roman" w:cs="Times New Roman"/>
      <w:color w:val="000000"/>
    </w:rPr>
  </w:style>
  <w:style w:type="character" w:customStyle="1" w:styleId="152">
    <w:name w:val="Heading 6 Char"/>
    <w:basedOn w:val="132"/>
    <w:link w:val="8"/>
    <w:semiHidden/>
    <w:uiPriority w:val="9"/>
    <w:rPr>
      <w:rFonts w:ascii="Times New Roman" w:hAnsi="Times New Roman" w:eastAsia="Times New Roman" w:cs="Times New Roman"/>
      <w:i/>
      <w:iCs/>
      <w:color w:val="000000"/>
    </w:rPr>
  </w:style>
  <w:style w:type="character" w:customStyle="1" w:styleId="153">
    <w:name w:val="Heading 7 Char"/>
    <w:basedOn w:val="132"/>
    <w:link w:val="9"/>
    <w:semiHidden/>
    <w:uiPriority w:val="9"/>
    <w:rPr>
      <w:rFonts w:ascii="Times New Roman" w:hAnsi="Times New Roman" w:eastAsia="Times New Roman" w:cs="Times New Roman"/>
      <w:i/>
      <w:iCs/>
      <w:color w:val="000000"/>
    </w:rPr>
  </w:style>
  <w:style w:type="character" w:customStyle="1" w:styleId="154">
    <w:name w:val="Heading 8 Char"/>
    <w:basedOn w:val="132"/>
    <w:link w:val="10"/>
    <w:semiHidden/>
    <w:uiPriority w:val="9"/>
    <w:rPr>
      <w:rFonts w:ascii="Times New Roman" w:hAnsi="Times New Roman" w:eastAsia="Times New Roman" w:cs="Times New Roman"/>
      <w:color w:val="000000"/>
      <w:sz w:val="20"/>
      <w:szCs w:val="20"/>
    </w:rPr>
  </w:style>
  <w:style w:type="character" w:customStyle="1" w:styleId="155">
    <w:name w:val="Heading 9 Char"/>
    <w:basedOn w:val="132"/>
    <w:link w:val="11"/>
    <w:semiHidden/>
    <w:uiPriority w:val="9"/>
    <w:rPr>
      <w:rFonts w:ascii="Times New Roman" w:hAnsi="Times New Roman" w:eastAsia="Times New Roman" w:cs="Times New Roman"/>
      <w:i/>
      <w:iCs/>
      <w:color w:val="000000"/>
      <w:sz w:val="20"/>
      <w:szCs w:val="20"/>
    </w:rPr>
  </w:style>
  <w:style w:type="paragraph" w:styleId="156">
    <w:name w:val="Intense Quote"/>
    <w:basedOn w:val="1"/>
    <w:next w:val="1"/>
    <w:link w:val="157"/>
    <w:qFormat/>
    <w:uiPriority w:val="30"/>
    <w:pPr>
      <w:spacing w:before="200" w:after="280"/>
      <w:ind w:left="936" w:right="936"/>
    </w:pPr>
    <w:rPr>
      <w:rFonts w:ascii="Times New Roman" w:hAnsi="Times New Roman" w:eastAsia="Times New Roman" w:cs="Times New Roman"/>
      <w:b/>
      <w:bCs/>
      <w:i/>
      <w:iCs/>
      <w:color w:val="000000"/>
    </w:rPr>
  </w:style>
  <w:style w:type="character" w:customStyle="1" w:styleId="157">
    <w:name w:val="Intense Quote Char"/>
    <w:basedOn w:val="132"/>
    <w:link w:val="156"/>
    <w:uiPriority w:val="30"/>
    <w:rPr>
      <w:rFonts w:ascii="Times New Roman" w:hAnsi="Times New Roman" w:eastAsia="Times New Roman" w:cs="Times New Roman"/>
      <w:b/>
      <w:bCs/>
      <w:i/>
      <w:iCs/>
      <w:color w:val="000000"/>
    </w:rPr>
  </w:style>
  <w:style w:type="character" w:customStyle="1" w:styleId="158">
    <w:name w:val="Subtle Emphasis"/>
    <w:basedOn w:val="132"/>
    <w:qFormat/>
    <w:uiPriority w:val="19"/>
    <w:rPr>
      <w:rFonts w:ascii="Times New Roman" w:hAnsi="Times New Roman" w:eastAsia="Times New Roman" w:cs="Times New Roman"/>
      <w:i/>
      <w:iCs/>
      <w:color w:val="000000"/>
    </w:rPr>
  </w:style>
  <w:style w:type="character" w:customStyle="1" w:styleId="159">
    <w:name w:val="Intense Emphasis"/>
    <w:basedOn w:val="132"/>
    <w:qFormat/>
    <w:uiPriority w:val="21"/>
    <w:rPr>
      <w:rFonts w:ascii="Times New Roman" w:hAnsi="Times New Roman" w:eastAsia="Times New Roman" w:cs="Times New Roman"/>
      <w:b/>
      <w:bCs/>
      <w:i/>
      <w:iCs/>
      <w:color w:val="000000"/>
    </w:rPr>
  </w:style>
  <w:style w:type="character" w:customStyle="1" w:styleId="160">
    <w:name w:val="Subtle Reference"/>
    <w:basedOn w:val="132"/>
    <w:qFormat/>
    <w:uiPriority w:val="31"/>
    <w:rPr>
      <w:rFonts w:ascii="Times New Roman" w:hAnsi="Times New Roman" w:eastAsia="Times New Roman" w:cs="Times New Roman"/>
      <w:smallCaps/>
      <w:color w:val="000000"/>
      <w:u w:val="single"/>
    </w:rPr>
  </w:style>
  <w:style w:type="character" w:customStyle="1" w:styleId="161">
    <w:name w:val="Intense Reference"/>
    <w:basedOn w:val="132"/>
    <w:qFormat/>
    <w:uiPriority w:val="32"/>
    <w:rPr>
      <w:rFonts w:ascii="Times New Roman" w:hAnsi="Times New Roman" w:eastAsia="Times New Roman" w:cs="Times New Roman"/>
      <w:b/>
      <w:bCs/>
      <w:smallCaps/>
      <w:color w:val="000000"/>
      <w:spacing w:val="5"/>
      <w:u w:val="single"/>
    </w:rPr>
  </w:style>
  <w:style w:type="character" w:customStyle="1" w:styleId="162">
    <w:name w:val="Book Title"/>
    <w:basedOn w:val="132"/>
    <w:qFormat/>
    <w:uiPriority w:val="33"/>
    <w:rPr>
      <w:rFonts w:ascii="Times New Roman" w:hAnsi="Times New Roman" w:eastAsia="Times New Roman" w:cs="Times New Roman"/>
      <w:b/>
      <w:bCs/>
      <w:smallCaps/>
      <w:color w:val="000000"/>
      <w:spacing w:val="5"/>
    </w:rPr>
  </w:style>
  <w:style w:type="paragraph" w:customStyle="1" w:styleId="163">
    <w:name w:val="TOC Heading"/>
    <w:basedOn w:val="3"/>
    <w:next w:val="1"/>
    <w:semiHidden/>
    <w:unhideWhenUsed/>
    <w:qFormat/>
    <w:uiPriority w:val="39"/>
    <w:pPr>
      <w:outlineLvl w:val="9"/>
    </w:pPr>
    <w:rPr>
      <w:rFonts w:ascii="Times New Roman" w:hAnsi="Times New Roman" w:eastAsia="Times New Roman" w:cs="Times New Roman"/>
      <w:color w:val="00000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Yuan Feng and co-authors</dc:creator>
  <dc:description>generated by python-docx</dc:description>
  <cp:lastModifiedBy>逢缘</cp:lastModifiedBy>
  <dcterms:modified xsi:type="dcterms:W3CDTF">2026-09-08T10:03:32Z</dcterms:modified>
  <dc:subject>Brain Communications original article; revised manuscript v39</dc:subject>
  <dc:title>Immune compartmentalization across blood, cerebrospinal fluid and nerve in inflammatory neuropathies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DFE1BC7F440F7F2CF46C9F6A5AB813AA_42</vt:lpwstr>
  </property>
</Properties>
</file>