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widowControl/>
        <w:ind w:firstLine="0"/>
      </w:pPr>
      <w:r>
        <w:rPr>
          <w:rFonts w:ascii="Times New Roman" w:hAnsi="Times New Roman" w:eastAsia="Times New Roman" w:cs="Times New Roman"/>
          <w:b/>
          <w:color w:val="000000"/>
        </w:rPr>
        <w:t>Additional file 3. Supplementary figures</w:t>
      </w:r>
    </w:p>
    <w:p>
      <w:pPr>
        <w:keepLines/>
        <w:widowControl/>
        <w:ind w:firstLine="0"/>
      </w:pPr>
      <w:r>
        <w:rPr>
          <w:rFonts w:ascii="Times New Roman" w:hAnsi="Times New Roman" w:eastAsia="Times New Roman" w:cs="Times New Roman"/>
          <w:color w:val="000000"/>
        </w:rPr>
        <w:t>Immune gene and protein profiles across blood, cerebrospinal fluid and peripheral nerve in inflammatory neuropathies</w:t>
      </w:r>
    </w:p>
    <w:p>
      <w:pPr>
        <w:pStyle w:val="Heading1"/>
        <w:keepNext/>
        <w:widowControl/>
        <w:ind w:firstLine="0"/>
      </w:pPr>
      <w:r>
        <w:rPr>
          <w:rFonts w:ascii="Times New Roman" w:hAnsi="Times New Roman" w:eastAsia="Times New Roman" w:cs="Times New Roman"/>
          <w:b/>
          <w:color w:val="000000"/>
        </w:rPr>
        <w:t>Supplementary Figure 1. Donor bootstrap intervals for genetic candidate expression</w:t>
      </w:r>
    </w:p>
    <w:p>
      <w:pPr>
        <w:keepNext/>
        <w:widowControl/>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5702854"/>
            <wp:docPr id="1" name="Picture 1" descr="Four plots show mean expression and donor bootstrap intervals for genetic candidates across nerve cell groups."/>
            <wp:cNvGraphicFramePr>
              <a:graphicFrameLocks noChangeAspect="1"/>
            </wp:cNvGraphicFramePr>
            <a:graphic>
              <a:graphicData uri="http://schemas.openxmlformats.org/drawingml/2006/picture">
                <pic:pic>
                  <pic:nvPicPr>
                    <pic:cNvPr id="0" name="Supplementary_Figure_1_v39.png"/>
                    <pic:cNvPicPr/>
                  </pic:nvPicPr>
                  <pic:blipFill>
                    <a:blip r:embed="rId10"/>
                    <a:stretch>
                      <a:fillRect/>
                    </a:stretch>
                  </pic:blipFill>
                  <pic:spPr>
                    <a:xfrm>
                      <a:off x="0" y="0"/>
                      <a:ext cx="5580000" cy="5702854"/>
                    </a:xfrm>
                    <a:prstGeom prst="rect"/>
                  </pic:spPr>
                </pic:pic>
              </a:graphicData>
            </a:graphic>
          </wp:inline>
        </w:drawing>
      </w:r>
    </w:p>
    <w:p>
      <w:pPr>
        <w:keepLines/>
        <w:widowControl/>
        <w:spacing w:line="276" w:lineRule="auto" w:after="180"/>
        <w:ind w:firstLine="0"/>
      </w:pPr>
      <w:r>
        <w:rPr>
          <w:rFonts w:ascii="Times New Roman" w:hAnsi="Times New Roman" w:eastAsia="Times New Roman" w:cs="Times New Roman"/>
          <w:color w:val="000000"/>
        </w:rPr>
        <w:t xml:space="preserve">Points show mean log2(CP10k + 1) across eligible CIDP donors. Bars show percentile 95% intervals from 5000 resamples within each gene and cell group. </w:t>
      </w:r>
      <w:r>
        <w:rPr>
          <w:rFonts w:ascii="Times New Roman" w:hAnsi="Times New Roman" w:eastAsia="Times New Roman" w:cs="Times New Roman"/>
          <w:color w:val="000000"/>
        </w:rPr>
        <w:t xml:space="preserve">Resampling was performed at donor level with random seed 20260904. </w:t>
      </w:r>
      <w:r>
        <w:rPr>
          <w:rFonts w:ascii="Times New Roman" w:hAnsi="Times New Roman" w:eastAsia="Times New Roman" w:cs="Times New Roman"/>
          <w:color w:val="000000"/>
        </w:rPr>
        <w:t xml:space="preserve">The intervals </w:t>
      </w:r>
      <w:r>
        <w:rPr>
          <w:rFonts w:ascii="Times New Roman" w:hAnsi="Times New Roman" w:eastAsia="Times New Roman" w:cs="Times New Roman"/>
          <w:color w:val="000000"/>
        </w:rPr>
        <w:t>qu</w:t>
      </w:r>
      <w:r>
        <w:rPr>
          <w:rFonts w:ascii="Times New Roman" w:hAnsi="Times New Roman" w:eastAsia="Times New Roman" w:cs="Times New Roman"/>
          <w:color w:val="000000"/>
        </w:rPr>
        <w:t>a</w:t>
      </w:r>
      <w:r>
        <w:rPr>
          <w:rFonts w:ascii="Times New Roman" w:hAnsi="Times New Roman" w:eastAsia="Times New Roman" w:cs="Times New Roman"/>
          <w:color w:val="000000"/>
        </w:rPr>
        <w:t>n</w:t>
      </w:r>
      <w:r>
        <w:rPr>
          <w:rFonts w:ascii="Times New Roman" w:hAnsi="Times New Roman" w:eastAsia="Times New Roman" w:cs="Times New Roman"/>
          <w:color w:val="000000"/>
        </w:rPr>
        <w:t>ti</w:t>
      </w:r>
      <w:r>
        <w:rPr>
          <w:rFonts w:ascii="Times New Roman" w:hAnsi="Times New Roman" w:eastAsia="Times New Roman" w:cs="Times New Roman"/>
          <w:color w:val="000000"/>
        </w:rPr>
        <w:t>fy u</w:t>
      </w:r>
      <w:r>
        <w:rPr>
          <w:rFonts w:ascii="Times New Roman" w:hAnsi="Times New Roman" w:eastAsia="Times New Roman" w:cs="Times New Roman"/>
          <w:color w:val="000000"/>
        </w:rPr>
        <w:t>n</w:t>
      </w:r>
      <w:r>
        <w:rPr>
          <w:rFonts w:ascii="Times New Roman" w:hAnsi="Times New Roman" w:eastAsia="Times New Roman" w:cs="Times New Roman"/>
          <w:color w:val="000000"/>
        </w:rPr>
        <w:t>certainty</w:t>
      </w:r>
      <w:r>
        <w:rPr>
          <w:rFonts w:ascii="Times New Roman" w:hAnsi="Times New Roman" w:eastAsia="Times New Roman" w:cs="Times New Roman"/>
          <w:color w:val="000000"/>
        </w:rPr>
        <w:t xml:space="preserve"> in</w:t>
      </w:r>
      <w:r>
        <w:rPr>
          <w:rFonts w:ascii="Times New Roman" w:hAnsi="Times New Roman" w:eastAsia="Times New Roman" w:cs="Times New Roman"/>
          <w:color w:val="000000"/>
        </w:rPr>
        <w:t xml:space="preserve"> the donor</w:t>
      </w:r>
      <w:r>
        <w:rPr>
          <w:rFonts w:ascii="Times New Roman" w:hAnsi="Times New Roman" w:eastAsia="Times New Roman" w:cs="Times New Roman"/>
          <w:color w:val="000000"/>
        </w:rPr>
        <w:t xml:space="preserve"> mean </w:t>
      </w:r>
      <w:r>
        <w:rPr>
          <w:rFonts w:ascii="Times New Roman" w:hAnsi="Times New Roman" w:eastAsia="Times New Roman" w:cs="Times New Roman"/>
          <w:color w:val="000000"/>
        </w:rPr>
        <w:t xml:space="preserve">for </w:t>
      </w:r>
      <w:r>
        <w:rPr>
          <w:rFonts w:ascii="Times New Roman" w:hAnsi="Times New Roman" w:eastAsia="Times New Roman" w:cs="Times New Roman"/>
          <w:color w:val="000000"/>
        </w:rPr>
        <w:t>e</w:t>
      </w:r>
      <w:r>
        <w:rPr>
          <w:rFonts w:ascii="Times New Roman" w:hAnsi="Times New Roman" w:eastAsia="Times New Roman" w:cs="Times New Roman"/>
          <w:color w:val="000000"/>
        </w:rPr>
        <w:t>ach gene and cell grou</w:t>
      </w:r>
      <w:r>
        <w:rPr>
          <w:rFonts w:ascii="Times New Roman" w:hAnsi="Times New Roman" w:eastAsia="Times New Roman" w:cs="Times New Roman"/>
          <w:color w:val="000000"/>
        </w:rPr>
        <w:t>p</w:t>
      </w:r>
      <w:r>
        <w:rPr>
          <w:rFonts w:ascii="Times New Roman" w:hAnsi="Times New Roman" w:eastAsia="Times New Roman" w:cs="Times New Roman"/>
          <w:color w:val="000000"/>
        </w:rPr>
        <w:t>. The sou</w:t>
      </w:r>
      <w:r>
        <w:rPr>
          <w:rFonts w:ascii="Times New Roman" w:hAnsi="Times New Roman" w:eastAsia="Times New Roman" w:cs="Times New Roman"/>
          <w:color w:val="000000"/>
        </w:rPr>
        <w:t>r</w:t>
      </w:r>
      <w:r>
        <w:rPr>
          <w:rFonts w:ascii="Times New Roman" w:hAnsi="Times New Roman" w:eastAsia="Times New Roman" w:cs="Times New Roman"/>
          <w:color w:val="000000"/>
        </w:rPr>
        <w:t>ce valu</w:t>
      </w:r>
      <w:r>
        <w:rPr>
          <w:rFonts w:ascii="Times New Roman" w:hAnsi="Times New Roman" w:eastAsia="Times New Roman" w:cs="Times New Roman"/>
          <w:color w:val="000000"/>
        </w:rPr>
        <w:t>es a</w:t>
      </w:r>
      <w:r>
        <w:rPr>
          <w:rFonts w:ascii="Times New Roman" w:hAnsi="Times New Roman" w:eastAsia="Times New Roman" w:cs="Times New Roman"/>
          <w:color w:val="000000"/>
        </w:rPr>
        <w:t>nd eligible</w:t>
      </w:r>
      <w:r>
        <w:rPr>
          <w:rFonts w:ascii="Times New Roman" w:hAnsi="Times New Roman" w:eastAsia="Times New Roman" w:cs="Times New Roman"/>
          <w:color w:val="000000"/>
        </w:rPr>
        <w:t xml:space="preserve"> donor</w:t>
      </w:r>
      <w:r>
        <w:rPr>
          <w:rFonts w:ascii="Times New Roman" w:hAnsi="Times New Roman" w:eastAsia="Times New Roman" w:cs="Times New Roman"/>
          <w:color w:val="000000"/>
        </w:rPr>
        <w:t xml:space="preserve"> count</w:t>
      </w:r>
      <w:r>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 are provided in the Genetic_bootstrap worksheet of Additional file 1</w:t>
      </w:r>
      <w:r>
        <w:rPr>
          <w:rFonts w:ascii="Times New Roman" w:hAnsi="Times New Roman" w:eastAsia="Times New Roman" w:cs="Times New Roman"/>
          <w:color w:val="000000"/>
        </w:rPr>
        <w:t>.</w:t>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2. Published nerve observations and complement deposition</w:t>
      </w:r>
    </w:p>
    <w:p>
      <w:pPr>
        <w:keepNext/>
        <w:widowControl/>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80000" cy="3348000"/>
            <wp:docPr id="2" name="Picture 2" descr="Published nerve findings include complement deposition in 52 of 55 CIDP biopsies, with a calculated Wilson confidence interval."/>
            <wp:cNvGraphicFramePr>
              <a:graphicFrameLocks noChangeAspect="1"/>
            </wp:cNvGraphicFramePr>
            <a:graphic>
              <a:graphicData uri="http://schemas.openxmlformats.org/drawingml/2006/picture">
                <pic:pic>
                  <pic:nvPicPr>
                    <pic:cNvPr id="0" name="Supplementary_Figure_2_v39.png"/>
                    <pic:cNvPicPr/>
                  </pic:nvPicPr>
                  <pic:blipFill>
                    <a:blip r:embed="rId11"/>
                    <a:stretch>
                      <a:fillRect/>
                    </a:stretch>
                  </pic:blipFill>
                  <pic:spPr>
                    <a:xfrm>
                      <a:off x="0" y="0"/>
                      <a:ext cx="5580000" cy="3348000"/>
                    </a:xfrm>
                    <a:prstGeom prst="rect"/>
                  </pic:spPr>
                </pic:pic>
              </a:graphicData>
            </a:graphic>
          </wp:inline>
        </w:drawing>
      </w:r>
    </w:p>
    <w:p>
      <w:pPr>
        <w:keepLines/>
        <w:widowControl/>
        <w:spacing w:line="276" w:lineRule="auto" w:after="180"/>
        <w:ind w:firstLine="0"/>
      </w:pPr>
      <w:r>
        <w:rPr>
          <w:rFonts w:ascii="Times New Roman" w:hAnsi="Times New Roman" w:eastAsia="Times New Roman" w:cs="Times New Roman"/>
          <w:color w:val="000000"/>
        </w:rPr>
        <w:t>Stascheit et al. reported deposition of the terminal complement complex on endoneurial capillaries in 52 of 55 biopsies from patients with CIDP or its variants, together with histological and proteomic findings [37]. The proportion of 94.5% and Wilson 95% interval of 85.1% to 98.1% were calculated from the published count. The other observations summarise qualitative findings from the source study associated with PXD056286. The proteomic subset comprised nine CIDP cases and two controls. Higher C3, C5 and C9 abundance was reported, while C6 protein was elevated in only two cases.</w:t>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3. Fc module components and donor sensitivity analyses</w:t>
      </w:r>
    </w:p>
    <w:p>
      <w:pPr>
        <w:keepNext/>
        <w:widowControl/>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806440" cy="2987719"/>
            <wp:docPr id="3" name="Picture 3" descr="Panels show Fc receptor gene differences and the results of donor sensitivity analyses."/>
            <wp:cNvGraphicFramePr>
              <a:graphicFrameLocks noChangeAspect="1"/>
            </wp:cNvGraphicFramePr>
            <a:graphic>
              <a:graphicData uri="http://schemas.openxmlformats.org/drawingml/2006/picture">
                <pic:pic>
                  <pic:nvPicPr>
                    <pic:cNvPr id="0" name="Supplementary_Figure_3_v41.png"/>
                    <pic:cNvPicPr/>
                  </pic:nvPicPr>
                  <pic:blipFill>
                    <a:blip r:embed="rId12"/>
                    <a:stretch>
                      <a:fillRect/>
                    </a:stretch>
                  </pic:blipFill>
                  <pic:spPr>
                    <a:xfrm>
                      <a:off x="0" y="0"/>
                      <a:ext cx="5806440" cy="2987719"/>
                    </a:xfrm>
                    <a:prstGeom prst="rect"/>
                  </pic:spPr>
                </pic:pic>
              </a:graphicData>
            </a:graphic>
          </wp:inline>
        </w:drawing>
      </w:r>
    </w:p>
    <w:p>
      <w:pPr>
        <w:keepLines/>
        <w:widowControl/>
        <w:spacing w:line="276" w:lineRule="auto" w:after="180"/>
        <w:ind w:firstLine="0"/>
      </w:pPr>
      <w:r>
        <w:rPr>
          <w:rFonts w:ascii="Times New Roman" w:hAnsi="Times New Roman" w:eastAsia="Times New Roman" w:cs="Times New Roman"/>
          <w:color w:val="000000"/>
        </w:rPr>
        <w:t>(A) Differences in mean log2(CPM + 0.5) for the 11 measured genes</w:t>
      </w:r>
      <w:r>
        <w:rPr>
          <w:rFonts w:ascii="Times New Roman" w:hAnsi="Times New Roman" w:eastAsia="Times New Roman" w:cs="Times New Roman"/>
          <w:color w:val="000000"/>
        </w:rPr>
        <w:t>, calculated as CIDP minus CIAP</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FCGR2C</w:t>
      </w:r>
      <w:r>
        <w:rPr>
          <w:rFonts w:ascii="Times New Roman" w:hAnsi="Times New Roman" w:eastAsia="Times New Roman" w:cs="Times New Roman"/>
          <w:color w:val="000000"/>
        </w:rPr>
        <w:t xml:space="preserve"> was absent from the matrix. Displayed q values </w:t>
      </w:r>
      <w:r>
        <w:rPr>
          <w:rFonts w:ascii="Times New Roman" w:hAnsi="Times New Roman" w:eastAsia="Times New Roman" w:cs="Times New Roman"/>
          <w:color w:val="000000"/>
        </w:rPr>
        <w:t xml:space="preserve">were derived from two </w:t>
      </w:r>
      <w:r>
        <w:rPr>
          <w:rFonts w:ascii="Times New Roman" w:hAnsi="Times New Roman" w:eastAsia="Times New Roman" w:cs="Times New Roman"/>
          <w:color w:val="000000"/>
        </w:rPr>
        <w:t>s</w:t>
      </w:r>
      <w:r>
        <w:rPr>
          <w:rFonts w:ascii="Times New Roman" w:hAnsi="Times New Roman" w:eastAsia="Times New Roman" w:cs="Times New Roman"/>
          <w:color w:val="000000"/>
        </w:rPr>
        <w:t>id</w:t>
      </w:r>
      <w:r>
        <w:rPr>
          <w:rFonts w:ascii="Times New Roman" w:hAnsi="Times New Roman" w:eastAsia="Times New Roman" w:cs="Times New Roman"/>
          <w:color w:val="000000"/>
        </w:rPr>
        <w:t>e</w:t>
      </w:r>
      <w:r>
        <w:rPr>
          <w:rFonts w:ascii="Times New Roman" w:hAnsi="Times New Roman" w:eastAsia="Times New Roman" w:cs="Times New Roman"/>
          <w:color w:val="000000"/>
        </w:rPr>
        <w:t>d Mann and Whitney tests with Benjamini and Hochberg correction across</w:t>
      </w:r>
      <w:r>
        <w:rPr>
          <w:rFonts w:ascii="Times New Roman" w:hAnsi="Times New Roman" w:eastAsia="Times New Roman" w:cs="Times New Roman"/>
          <w:color w:val="000000"/>
        </w:rPr>
        <w:t xml:space="preserve"> the 11 gene</w:t>
      </w:r>
      <w:r>
        <w:rPr>
          <w:rFonts w:ascii="Times New Roman" w:hAnsi="Times New Roman" w:eastAsia="Times New Roman" w:cs="Times New Roman"/>
          <w:color w:val="000000"/>
        </w:rPr>
        <w:t>s. Points and bars show mean differences and unadjusted 95% confidence intervals from separate ordinary least squares models with HC3 covariance and residual degrees of freedom. These intervals do not correspond to the rank</w:t>
      </w:r>
      <w:r>
        <w:rPr>
          <w:rFonts w:ascii="Times New Roman" w:hAnsi="Times New Roman" w:eastAsia="Times New Roman" w:cs="Times New Roman"/>
          <w:color w:val="000000"/>
        </w:rPr>
        <w:t xml:space="preserve"> test</w:t>
      </w:r>
      <w:r>
        <w:rPr>
          <w:rFonts w:ascii="Times New Roman" w:hAnsi="Times New Roman" w:eastAsia="Times New Roman" w:cs="Times New Roman"/>
          <w:color w:val="000000"/>
        </w:rPr>
        <w:t>s used to calculate q value</w:t>
      </w:r>
      <w:r>
        <w:rPr>
          <w:rFonts w:ascii="Times New Roman" w:hAnsi="Times New Roman" w:eastAsia="Times New Roman" w:cs="Times New Roman"/>
          <w:color w:val="000000"/>
        </w:rPr>
        <w:t>s. (B) Module score differences under demographic and composition sensitivity analyses</w:t>
      </w:r>
      <w:r>
        <w:rPr>
          <w:rFonts w:ascii="Times New Roman" w:hAnsi="Times New Roman" w:eastAsia="Times New Roman" w:cs="Times New Roman"/>
          <w:color w:val="000000"/>
        </w:rPr>
        <w: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with HC3 95% c</w:t>
      </w:r>
      <w:r>
        <w:rPr>
          <w:rFonts w:ascii="Times New Roman" w:hAnsi="Times New Roman" w:eastAsia="Times New Roman" w:cs="Times New Roman"/>
          <w:color w:val="000000"/>
        </w:rPr>
        <w:t>o</w:t>
      </w:r>
      <w:r>
        <w:rPr>
          <w:rFonts w:ascii="Times New Roman" w:hAnsi="Times New Roman" w:eastAsia="Times New Roman" w:cs="Times New Roman"/>
          <w:color w:val="000000"/>
        </w:rPr>
        <w:t>nf</w:t>
      </w:r>
      <w:r>
        <w:rPr>
          <w:rFonts w:ascii="Times New Roman" w:hAnsi="Times New Roman" w:eastAsia="Times New Roman" w:cs="Times New Roman"/>
          <w:color w:val="000000"/>
        </w:rPr>
        <w:t>idence intervals. Standardisation within the 20 CIDP and CIAP donors changes the score scale. The exact permutation test within centres gave P = 0.0048 and is reported separately from the model intervals. The original module q value was 0.0087 within eight macrophage modules and 0.087 across all 80 eligible module tests. These exploratory analyses followed the initial Fc module observation.</w:t>
      </w:r>
      <w:r>
        <w:rPr>
          <w:rStyle w:val="CommentReference"/>
        </w:rPr>
      </w:r>
    </w:p>
    <w:p>
      <w:pPr>
        <w:widowControl/>
        <w:ind w:firstLine="0"/>
      </w:pPr>
      <w:r>
        <w:rPr>
          <w:rFonts w:ascii="Times New Roman" w:hAnsi="Times New Roman" w:eastAsia="Times New Roman" w:cs="Times New Roman"/>
          <w:color w:val="000000"/>
        </w:rPr>
      </w:r>
    </w:p>
    <w:p>
      <w:pPr>
        <w:pStyle w:val="Heading1"/>
        <w:keepNext/>
        <w:widowControl/>
        <w:ind w:firstLine="0"/>
      </w:pPr>
      <w:r>
        <w:rPr>
          <w:rFonts w:ascii="Times New Roman" w:hAnsi="Times New Roman" w:eastAsia="Times New Roman" w:cs="Times New Roman"/>
          <w:b/>
          <w:color w:val="000000"/>
        </w:rPr>
        <w:t>Supplementary Figure 4. Fc scores under alternative macrophage annotations</w:t>
      </w:r>
    </w:p>
    <w:p>
      <w:pPr>
        <w:keepNext/>
        <w:widowControl/>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400" cy="4205723"/>
            <wp:docPr id="4" name="Picture 4" descr="The plot shows macrophage Fc module differences under broad and refined annotation definitions."/>
            <wp:cNvGraphicFramePr>
              <a:graphicFrameLocks noChangeAspect="1"/>
            </wp:cNvGraphicFramePr>
            <a:graphic>
              <a:graphicData uri="http://schemas.openxmlformats.org/drawingml/2006/picture">
                <pic:pic>
                  <pic:nvPicPr>
                    <pic:cNvPr id="0" name="Supplementary_Figure_4_v41.png"/>
                    <pic:cNvPicPr/>
                  </pic:nvPicPr>
                  <pic:blipFill>
                    <a:blip r:embed="rId13"/>
                    <a:stretch>
                      <a:fillRect/>
                    </a:stretch>
                  </pic:blipFill>
                  <pic:spPr>
                    <a:xfrm>
                      <a:off x="0" y="0"/>
                      <a:ext cx="5486400" cy="4205723"/>
                    </a:xfrm>
                    <a:prstGeom prst="rect"/>
                  </pic:spPr>
                </pic:pic>
              </a:graphicData>
            </a:graphic>
          </wp:inline>
        </w:drawing>
      </w:r>
    </w:p>
    <w:p>
      <w:pPr>
        <w:keepLines/>
        <w:widowControl/>
        <w:spacing w:line="276" w:lineRule="auto" w:after="180"/>
        <w:ind w:firstLine="0"/>
      </w:pPr>
      <w:r>
        <w:rPr>
          <w:rFonts w:ascii="Times New Roman" w:hAnsi="Times New Roman" w:eastAsia="Times New Roman" w:cs="Times New Roman"/>
          <w:color w:val="000000"/>
        </w:rPr>
        <w:t xml:space="preserve">The original and refined annotations represent distinct classification levels. The refined union contains Macro1 through Macro18. Eligibility requires at least 20 nuclei per donor and three donors per diagnosis. Original Macro1 was ineligible. Points and bars show mean score differences </w:t>
      </w:r>
      <w:r>
        <w:rPr>
          <w:rFonts w:ascii="Times New Roman" w:hAnsi="Times New Roman" w:eastAsia="Times New Roman" w:cs="Times New Roman"/>
          <w:color w:val="000000"/>
        </w:rPr>
        <w:t>c</w:t>
      </w:r>
      <w:r>
        <w:rPr>
          <w:rFonts w:ascii="Times New Roman" w:hAnsi="Times New Roman" w:eastAsia="Times New Roman" w:cs="Times New Roman"/>
          <w:color w:val="000000"/>
        </w:rPr>
        <w:t>a</w:t>
      </w:r>
      <w:r>
        <w:rPr>
          <w:rFonts w:ascii="Times New Roman" w:hAnsi="Times New Roman" w:eastAsia="Times New Roman" w:cs="Times New Roman"/>
          <w:color w:val="000000"/>
        </w:rPr>
        <w:t>lculated as CIDP mi</w:t>
      </w:r>
      <w:r>
        <w:rPr>
          <w:rFonts w:ascii="Times New Roman" w:hAnsi="Times New Roman" w:eastAsia="Times New Roman" w:cs="Times New Roman"/>
          <w:color w:val="000000"/>
        </w:rPr>
        <w:t>n</w:t>
      </w:r>
      <w:r>
        <w:rPr>
          <w:rFonts w:ascii="Times New Roman" w:hAnsi="Times New Roman" w:eastAsia="Times New Roman" w:cs="Times New Roman"/>
          <w:color w:val="000000"/>
        </w:rPr>
        <w:t>us CIAP, with unadjuste</w:t>
      </w:r>
      <w:r>
        <w:rPr>
          <w:rFonts w:ascii="Times New Roman" w:hAnsi="Times New Roman" w:eastAsia="Times New Roman" w:cs="Times New Roman"/>
          <w:color w:val="000000"/>
        </w:rPr>
        <w:t>d HC3 95%</w:t>
      </w:r>
      <w:r>
        <w:rPr>
          <w:rFonts w:ascii="Times New Roman" w:hAnsi="Times New Roman" w:eastAsia="Times New Roman" w:cs="Times New Roman"/>
          <w:color w:val="000000"/>
        </w:rPr>
        <w:t xml:space="preserve"> confidence</w:t>
      </w:r>
      <w:r>
        <w:rPr>
          <w:rFonts w:ascii="Times New Roman" w:hAnsi="Times New Roman" w:eastAsia="Times New Roman" w:cs="Times New Roman"/>
          <w:color w:val="000000"/>
        </w:rPr>
        <w:t xml:space="preserve"> intervals. Genes are standardi</w:t>
      </w:r>
      <w:r>
        <w:rPr>
          <w:rFonts w:ascii="Times New Roman" w:hAnsi="Times New Roman" w:eastAsia="Times New Roman" w:cs="Times New Roman"/>
          <w:color w:val="000000"/>
        </w:rPr>
        <w:t>s</w:t>
      </w:r>
      <w:r>
        <w:rPr>
          <w:rFonts w:ascii="Times New Roman" w:hAnsi="Times New Roman" w:eastAsia="Times New Roman" w:cs="Times New Roman"/>
          <w:color w:val="000000"/>
        </w:rPr>
        <w:t>ed</w:t>
      </w:r>
      <w:r>
        <w:rPr>
          <w:rFonts w:ascii="Times New Roman" w:hAnsi="Times New Roman" w:eastAsia="Times New Roman" w:cs="Times New Roman"/>
          <w:color w:val="000000"/>
        </w:rPr>
        <w:t xml:space="preserve"> across eligible CIDP and CIAP donors</w:t>
      </w:r>
      <w:r>
        <w:rPr>
          <w:rFonts w:ascii="Times New Roman" w:hAnsi="Times New Roman" w:eastAsia="Times New Roman" w:cs="Times New Roman"/>
          <w:color w:val="000000"/>
        </w:rPr>
        <w:t xml:space="preserve"> within each annotation. Parentheses give CIDP and CIAP donor counts. Subtype q values </w:t>
      </w:r>
      <w:r>
        <w:rPr>
          <w:rFonts w:ascii="Times New Roman" w:hAnsi="Times New Roman" w:eastAsia="Times New Roman" w:cs="Times New Roman"/>
          <w:color w:val="000000"/>
        </w:rPr>
        <w:t xml:space="preserve">were derived from two </w:t>
      </w:r>
      <w:r>
        <w:rPr>
          <w:rFonts w:ascii="Times New Roman" w:hAnsi="Times New Roman" w:eastAsia="Times New Roman" w:cs="Times New Roman"/>
          <w:color w:val="000000"/>
        </w:rPr>
        <w:t>s</w:t>
      </w:r>
      <w:r>
        <w:rPr>
          <w:rFonts w:ascii="Times New Roman" w:hAnsi="Times New Roman" w:eastAsia="Times New Roman" w:cs="Times New Roman"/>
          <w:color w:val="000000"/>
        </w:rPr>
        <w:t>id</w:t>
      </w:r>
      <w:r>
        <w:rPr>
          <w:rFonts w:ascii="Times New Roman" w:hAnsi="Times New Roman" w:eastAsia="Times New Roman" w:cs="Times New Roman"/>
          <w:color w:val="000000"/>
        </w:rPr>
        <w:t>e</w:t>
      </w:r>
      <w:r>
        <w:rPr>
          <w:rFonts w:ascii="Times New Roman" w:hAnsi="Times New Roman" w:eastAsia="Times New Roman" w:cs="Times New Roman"/>
          <w:color w:val="000000"/>
        </w:rPr>
        <w:t>d Mann and Whitney tests with Benjamini and Hochberg correction across</w:t>
      </w:r>
      <w:r>
        <w:rPr>
          <w:rFonts w:ascii="Times New Roman" w:hAnsi="Times New Roman" w:eastAsia="Times New Roman" w:cs="Times New Roman"/>
          <w:color w:val="000000"/>
        </w:rPr>
        <w:t xml:space="preserve"> nine </w:t>
      </w:r>
      <w:r>
        <w:rPr>
          <w:rFonts w:ascii="Times New Roman" w:hAnsi="Times New Roman" w:eastAsia="Times New Roman" w:cs="Times New Roman"/>
          <w:color w:val="000000"/>
        </w:rPr>
        <w:t>sub</w:t>
      </w:r>
      <w:r>
        <w:rPr>
          <w:rFonts w:ascii="Times New Roman" w:hAnsi="Times New Roman" w:eastAsia="Times New Roman" w:cs="Times New Roman"/>
          <w:color w:val="000000"/>
        </w:rPr>
        <w:t>t</w:t>
      </w:r>
      <w:r>
        <w:rPr>
          <w:rFonts w:ascii="Times New Roman" w:hAnsi="Times New Roman" w:eastAsia="Times New Roman" w:cs="Times New Roman"/>
          <w:color w:val="000000"/>
        </w:rPr>
        <w:t>yp</w:t>
      </w:r>
      <w:r>
        <w:rPr>
          <w:rFonts w:ascii="Times New Roman" w:hAnsi="Times New Roman" w:eastAsia="Times New Roman" w:cs="Times New Roman"/>
          <w:color w:val="000000"/>
        </w:rPr>
        <w:t>es, and all exceed 0.05. The three broader definition checks form a separate testing family.</w:t>
      </w:r>
      <w:r>
        <w:rPr>
          <w:rFonts w:ascii="Times New Roman" w:hAnsi="Times New Roman" w:eastAsia="Times New Roman" w:cs="Times New Roman"/>
          <w:color w:val="000000"/>
        </w:rPr>
        <w:t xml:space="preserve"> The HC3 intervals describe mean differences and do not correspond to the rank tests used for q values.</w:t>
      </w:r>
      <w:r>
        <w:rPr>
          <w:rStyle w:val="CommentReference"/>
        </w:rPr>
      </w:r>
    </w:p>
    <w:sectPr w:rsidR="00FC693F" w:rsidRPr="0006063C" w:rsidSect="00034616">
      <w:footerReference w:type="default" r:id="rId9"/>
      <w:headerReference w:type="default" r:id="rId14"/>
      <w:pgSz w:w="11906" w:h="16838"/>
      <w:pgMar w:top="1417" w:right="1417" w:bottom="1417" w:left="1417" w:header="720" w:footer="720" w:gutter="0"/>
      <w:cols w:space="720"/>
      <w:docGrid w:linePitch="360"/>
      <w:lnNumType w:countBy="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numPr>
        <w:numId w:val="0"/>
      </w:numPr>
      <w:suppressLineNumbers/>
    </w:pPr>
    <w:fldSimple w:instr="PAGE">
      <w:r>
        <w:rPr>
          <w:rFonts w:ascii="Times New Roman" w:hAnsi="Times New Roman" w:eastAsia="Times New Roman" w:cs="Times New Roman"/>
          <w:color w:val="00000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numPr>
        <w:numId w:val="0"/>
      </w:numPr>
      <w:suppressLineNumbers/>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widowControl/>
      <w:spacing w:before="240" w:after="0" w:line="480" w:lineRule="auto"/>
      <w:ind w:firstLine="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480" w:lineRule="auto"/>
      <w:ind w:firstLine="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48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0" w:line="480" w:lineRule="auto" w:before="0"/>
      <w:ind w:firstLin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480" w:lineRule="auto" w:after="0" w:before="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480" w:lineRule="auto" w:after="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compartmentalization across blood, cerebrospinal fluid and nerve in inflammatory neuropathies</dc:title>
  <dc:subject>Brain Communications original article; revised manuscript v39</dc:subject>
  <dc:creator>Yuan Feng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