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Times New Roman" w:hAnsi="Times New Roman"/>
          <w:b/>
          <w:color w:val="000000"/>
          <w:sz w:val="28"/>
        </w:rPr>
        <w:t>Table 3 Evidence across blood CSF and peripheral nerve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2592"/>
        <w:gridCol w:w="2275"/>
        <w:gridCol w:w="4752"/>
        <w:gridCol w:w="2981"/>
      </w:tblGrid>
      <w:tr>
        <w:trPr>
          <w:cantSplit/>
          <w:tblHeader/>
        </w:trPr>
        <w:tc>
          <w:tcPr>
            <w:tcW w:type="dxa" w:w="1368"/>
            <w:vAlign w:val="center"/>
            <w:shd w:fill="E8ECEF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b/>
                <w:sz w:val="21"/>
              </w:rPr>
              <w:t>Programme</w:t>
            </w:r>
          </w:p>
        </w:tc>
        <w:tc>
          <w:tcPr>
            <w:tcW w:type="dxa" w:w="2592"/>
            <w:vAlign w:val="center"/>
            <w:shd w:fill="E8ECEF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b/>
                <w:sz w:val="21"/>
              </w:rPr>
              <w:t>Blood evidence</w:t>
            </w:r>
          </w:p>
        </w:tc>
        <w:tc>
          <w:tcPr>
            <w:tcW w:type="dxa" w:w="2275"/>
            <w:vAlign w:val="center"/>
            <w:shd w:fill="E8ECEF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b/>
                <w:sz w:val="21"/>
              </w:rPr>
              <w:t>CSF evidence</w:t>
            </w:r>
          </w:p>
        </w:tc>
        <w:tc>
          <w:tcPr>
            <w:tcW w:type="dxa" w:w="4752"/>
            <w:vAlign w:val="center"/>
            <w:shd w:fill="E8ECEF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b/>
                <w:sz w:val="21"/>
              </w:rPr>
              <w:t>Peripheral nerve evidence</w:t>
            </w:r>
          </w:p>
        </w:tc>
        <w:tc>
          <w:tcPr>
            <w:tcW w:type="dxa" w:w="2981"/>
            <w:vAlign w:val="center"/>
            <w:shd w:fill="E8ECEF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b/>
                <w:sz w:val="21"/>
              </w:rPr>
              <w:t>Interpretation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CXCL8 recruitment</w:t>
            </w:r>
          </w:p>
        </w:tc>
        <w:tc>
          <w:tcPr>
            <w:tcW w:type="dxa" w:w="2592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Positive in 3 cohorts. Pooled P = 0.114. Whole blood q &lt; 0.05</w:t>
            </w:r>
          </w:p>
        </w:tc>
        <w:tc>
          <w:tcPr>
            <w:tcW w:type="dxa" w:w="2275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Published innate immune and inflammatory protein findings</w:t>
            </w:r>
          </w:p>
        </w:tc>
        <w:tc>
          <w:tcPr>
            <w:tcW w:type="dxa" w:w="4752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Myeloid localisation and endothelial trafficking context</w:t>
            </w:r>
          </w:p>
        </w:tc>
        <w:tc>
          <w:tcPr>
            <w:tcW w:type="dxa" w:w="2981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Recurring recruitment expression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Complement</w:t>
            </w:r>
          </w:p>
        </w:tc>
        <w:tc>
          <w:tcPr>
            <w:tcW w:type="dxa" w:w="2592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Positive in 3 cohorts. Pooled P = 0.234. Whole blood q &lt; 0.01</w:t>
            </w:r>
          </w:p>
        </w:tc>
        <w:tc>
          <w:tcPr>
            <w:tcW w:type="dxa" w:w="2275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Published complement protein findings</w:t>
            </w:r>
          </w:p>
        </w:tc>
        <w:tc>
          <w:tcPr>
            <w:tcW w:type="dxa" w:w="4752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Macrophage localisation</w:t>
            </w:r>
          </w:p>
        </w:tc>
        <w:tc>
          <w:tcPr>
            <w:tcW w:type="dxa" w:w="2981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Complement gene and protein findings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Fc receptor</w:t>
            </w:r>
          </w:p>
        </w:tc>
        <w:tc>
          <w:tcPr>
            <w:tcW w:type="dxa" w:w="2592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Whole blood q &lt; 0.05, with mixed directions across cohorts</w:t>
            </w:r>
          </w:p>
        </w:tc>
        <w:tc>
          <w:tcPr>
            <w:tcW w:type="dxa" w:w="2275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Not directly evaluated</w:t>
            </w:r>
          </w:p>
        </w:tc>
        <w:tc>
          <w:tcPr>
            <w:tcW w:type="dxa" w:w="4752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Macrophage q = 0.0087 within eight modules and q = 0.087 across 80 nerve comparisons</w:t>
            </w:r>
          </w:p>
        </w:tc>
        <w:tc>
          <w:tcPr>
            <w:tcW w:type="dxa" w:w="2981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Lower macrophage score, attenuated after composition adjustment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Interferon response</w:t>
            </w:r>
          </w:p>
        </w:tc>
        <w:tc>
          <w:tcPr>
            <w:tcW w:type="dxa" w:w="2592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Whole blood q &lt; 0.05, with mixed directions across cohorts</w:t>
            </w:r>
          </w:p>
        </w:tc>
        <w:tc>
          <w:tcPr>
            <w:tcW w:type="dxa" w:w="2275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Published evidence of antiviral defence</w:t>
            </w:r>
          </w:p>
        </w:tc>
        <w:tc>
          <w:tcPr>
            <w:tcW w:type="dxa" w:w="4752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 xml:space="preserve">Published </w:t>
            </w:r>
            <w:r>
              <w:rPr>
                <w:rFonts w:ascii="Times New Roman" w:hAnsi="Times New Roman"/>
                <w:i/>
                <w:sz w:val="21"/>
              </w:rPr>
              <w:t>OAS1</w:t>
            </w:r>
            <w:r>
              <w:rPr>
                <w:rFonts w:ascii="Times New Roman" w:hAnsi="Times New Roman"/>
                <w:sz w:val="21"/>
              </w:rPr>
              <w:t xml:space="preserve"> enrichment in macrophages and </w:t>
            </w:r>
            <w:r>
              <w:rPr>
                <w:rFonts w:ascii="Times New Roman" w:hAnsi="Times New Roman"/>
                <w:i/>
                <w:sz w:val="21"/>
              </w:rPr>
              <w:t>MX1</w:t>
            </w:r>
            <w:r>
              <w:rPr>
                <w:rFonts w:ascii="Times New Roman" w:hAnsi="Times New Roman"/>
                <w:sz w:val="21"/>
              </w:rPr>
              <w:t xml:space="preserve"> enrichment in arterial endothelial cells. Published lower </w:t>
            </w:r>
            <w:r>
              <w:rPr>
                <w:rFonts w:ascii="Times New Roman" w:hAnsi="Times New Roman"/>
                <w:i/>
                <w:sz w:val="21"/>
              </w:rPr>
              <w:t>MX1</w:t>
            </w:r>
            <w:r>
              <w:rPr>
                <w:rFonts w:ascii="Times New Roman" w:hAnsi="Times New Roman"/>
                <w:sz w:val="21"/>
              </w:rPr>
              <w:t xml:space="preserve"> in nonmyelinating Schwann cells in PNP versus controls [27].</w:t>
            </w:r>
          </w:p>
        </w:tc>
        <w:tc>
          <w:tcPr>
            <w:tcW w:type="dxa" w:w="2981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Published gene level expression context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Endothelial adhesion</w:t>
            </w:r>
          </w:p>
        </w:tc>
        <w:tc>
          <w:tcPr>
            <w:tcW w:type="dxa" w:w="2592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Migration module q = 0.126 in whole blood. Positive in whole blood and leukocytes, negative in monocytes</w:t>
            </w:r>
          </w:p>
        </w:tc>
        <w:tc>
          <w:tcPr>
            <w:tcW w:type="dxa" w:w="2275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Not directly evaluated</w:t>
            </w:r>
          </w:p>
        </w:tc>
        <w:tc>
          <w:tcPr>
            <w:tcW w:type="dxa" w:w="4752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i/>
                <w:sz w:val="21"/>
              </w:rPr>
              <w:t>ICAM1</w:t>
            </w:r>
            <w:r>
              <w:rPr>
                <w:rFonts w:ascii="Times New Roman" w:hAnsi="Times New Roman"/>
                <w:sz w:val="21"/>
              </w:rPr>
              <w:t xml:space="preserve"> and </w:t>
            </w:r>
            <w:r>
              <w:rPr>
                <w:rFonts w:ascii="Times New Roman" w:hAnsi="Times New Roman"/>
                <w:i/>
                <w:sz w:val="21"/>
              </w:rPr>
              <w:t>VCAM1</w:t>
            </w:r>
            <w:r>
              <w:rPr>
                <w:rFonts w:ascii="Times New Roman" w:hAnsi="Times New Roman"/>
                <w:sz w:val="21"/>
              </w:rPr>
              <w:t xml:space="preserve"> localisation to BNB endothelial cells</w:t>
            </w:r>
          </w:p>
        </w:tc>
        <w:tc>
          <w:tcPr>
            <w:tcW w:type="dxa" w:w="2981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Endothelial expression of adhesion genes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Schwann repair</w:t>
            </w:r>
          </w:p>
        </w:tc>
        <w:tc>
          <w:tcPr>
            <w:tcW w:type="dxa" w:w="2592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Not evaluated</w:t>
            </w:r>
          </w:p>
        </w:tc>
        <w:tc>
          <w:tcPr>
            <w:tcW w:type="dxa" w:w="2275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Published evidence of axonal domain peptide degradation</w:t>
            </w:r>
          </w:p>
        </w:tc>
        <w:tc>
          <w:tcPr>
            <w:tcW w:type="dxa" w:w="4752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Repair and stress programmes localised to Schwann cells</w:t>
            </w:r>
          </w:p>
        </w:tc>
        <w:tc>
          <w:tcPr>
            <w:tcW w:type="dxa" w:w="2981"/>
            <w:vAlign w:val="center"/>
            <w:tcBorders>
              <w:top w:val="single" w:sz="4" w:color="D4DADF"/>
              <w:bottom w:val="single" w:sz="4" w:color="D4DADF"/>
              <w:left w:val="single" w:sz="4" w:color="D4DADF"/>
              <w:right w:val="single" w:sz="4" w:color="D4DADF"/>
            </w:tcBorders>
          </w:tcPr>
          <w:p>
            <w:pPr>
              <w:spacing w:before="100" w:after="100"/>
            </w:pPr>
            <w:r>
              <w:rPr>
                <w:rFonts w:ascii="Times New Roman" w:hAnsi="Times New Roman"/>
                <w:sz w:val="21"/>
              </w:rPr>
              <w:t>Structural injury and Schwann cell repair context</w:t>
            </w:r>
          </w:p>
        </w:tc>
      </w:tr>
    </w:tbl>
    <w:p>
      <w:pPr>
        <w:spacing w:before="160"/>
      </w:pPr>
      <w:r>
        <w:rPr>
          <w:sz w:val="19"/>
        </w:rPr>
        <w:t>Blood comparisons concern acute GBS and healthy controls. Nerve comparisons in this study concern CIDP and CIAP. Blood q values refer to seven module tests within the whole blood cohort, and nerve q values refer to the stated testing families. The nerve interferon entry uses published marker results from the full source atlas and a published PNP versus control comparison [27]. A dedicated nerve interferon module was not tested in the CIDP versus CIAP analysis. The evidence types do not form a common scale across compartments. PNP, polyneuropathy.</w:t>
      </w:r>
    </w:p>
    <w:p>
      <w:pPr>
        <w:spacing w:before="100"/>
      </w:pPr>
      <w:r>
        <w:rPr>
          <w:sz w:val="19"/>
        </w:rPr>
        <w:t>Reference 27  Heming et al. Nature Communications. 2025;16:7872. https://doi.org/10.1038/s41467-025-62964-8</w:t>
      </w:r>
    </w:p>
    <w:sectPr w:rsidR="00FC693F" w:rsidRPr="0006063C" w:rsidSect="00034616">
      <w:pgSz w:w="15840" w:h="122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