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Additional file 2: Reproducibility and evidence appendix</w:t>
      </w:r>
    </w:p>
    <w:p>
      <w:pPr>
        <w:jc w:val="center"/>
      </w:pPr>
      <w:r>
        <w:t>Immune compartmentalization across blood, cerebrospinal fluid and peripheral nerve in Guillain-Barré syndrome and CIDP</w:t>
      </w:r>
    </w:p>
    <w:p>
      <w:pPr>
        <w:pStyle w:val="Heading1"/>
        <w:keepNext/>
      </w:pPr>
      <w:r>
        <w:t>Purpose</w:t>
      </w:r>
    </w:p>
    <w:p>
      <w:r>
        <w:t>This appendix records the published resources, inferential units, evidence labels, software environment and negative findings used in the blood-CSF-peripheral-nerve synthesis. It complements the Methods and the machine-readable source data in Additional file 1.</w:t>
      </w:r>
    </w:p>
    <w:p>
      <w:pPr>
        <w:pStyle w:val="Heading1"/>
        <w:keepNext/>
      </w:pPr>
      <w:r>
        <w:t>Directly analyzed human resources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</w:trPr>
        <w:tc>
          <w:tcPr>
            <w:tcW w:type="dxa" w:w="1728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Resource</w:t>
            </w:r>
          </w:p>
        </w:tc>
        <w:tc>
          <w:tcPr>
            <w:tcW w:type="dxa" w:w="2880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Material</w:t>
            </w:r>
          </w:p>
        </w:tc>
        <w:tc>
          <w:tcPr>
            <w:tcW w:type="dxa" w:w="3240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Participants or samples</w:t>
            </w:r>
          </w:p>
        </w:tc>
        <w:tc>
          <w:tcPr>
            <w:tcW w:type="dxa" w:w="3240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Analytical role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GSE211225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Whole-blood expression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6 acute GBS, 10 post-acute, 6 controls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Primary participant-level blood effects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GSE31014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Blood leukocyte microarray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7 GBS, 7 controls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Independent blood direction check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PRJNA1293757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PBMC single-cell RNA sequencing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3 AIDP, 2 controls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Monocyte localization and direction check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PXD002911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CSF proteo-peptidomics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AIDP/GBS, MS and controls, with pooled discovery material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Group-level protein/peptide and pathway evidence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GSE285983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Sural-nerve single-nucleus RNA sequencing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9 CIDP, 11 CIAP in focused comparison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Donor-resolved nerve cell-state analysis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GSE107574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Human endoneurial endothelial transcriptomics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Cultured cells and microvessels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Normal BNB reference</w:t>
            </w:r>
          </w:p>
        </w:tc>
      </w:tr>
    </w:tbl>
    <w:p/>
    <w:p>
      <w:pPr>
        <w:pStyle w:val="Heading1"/>
        <w:keepNext/>
      </w:pPr>
      <w:r>
        <w:t>Supporting comparison resources</w:t>
      </w:r>
    </w:p>
    <w:p>
      <w:r>
        <w:t>Published AIDP monocyte results from OEP002315/OEP002701 and experimental autoimmune neuritis data from GSE133750 were used only for biological context. They were not counted as independent direct human cohorts in the primary meta-analysis.</w:t>
      </w:r>
    </w:p>
    <w:p>
      <w:pPr>
        <w:pStyle w:val="Heading1"/>
        <w:keepNext/>
      </w:pPr>
      <w:r>
        <w:t>Evidence definitions and statistical safeguards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2376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8784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Inferential unit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Participants for blood and donors for nerve. Cells and nuclei were not treated as independent biological replicates.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Blood synthesis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Hedges g from three formally published sources, random-effects models, Hartung-Knapp inference and direction concordance.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CSF evidence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Study-reported protein/peptide counts, overlap and pathway annotations from PXD002911. No patient-level module statistics were calculated.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Nerve analysis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Donor-by-cell-state pseudobulk, age and center adjustment, FDR correction and male-only sensitivity where applicable.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Cross-compartment label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Shared, compartment-enriched or localized evidence. Evidence types were displayed separately and not pooled.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Causal language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Expression and covariance support candidate routes but do not demonstrate signaling, migration or barrier permeability.</w:t>
            </w:r>
          </w:p>
        </w:tc>
      </w:tr>
    </w:tbl>
    <w:p/>
    <w:p>
      <w:pPr>
        <w:pStyle w:val="Heading1"/>
        <w:keepNext/>
      </w:pPr>
      <w:r>
        <w:t>Clinical phase and treatment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2880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Compartment</w:t>
            </w:r>
          </w:p>
        </w:tc>
        <w:tc>
          <w:tcPr>
            <w:tcW w:type="dxa" w:w="8280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Coverage and restriction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Acute GBS blood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Direct participant-level evidence from three formally published datasets.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Post-acute blood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Cross-sectional GSE211225 phase comparison. This is not paired longitudinal follow-up.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GBS/AIDP CSF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Formally published PXD002911 proteo-peptidomics with pooled discovery material and group-level inference.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CIDP peripheral nerve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Donor-resolved GSE285983 comparison with CIAP rather than healthy nerve.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Normal BNB reference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GSE107574 cultured endothelial cells and laser-captured microvessels.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Unavailable design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No matched blood, CSF and nerve samples from the same participants.</w:t>
            </w:r>
          </w:p>
        </w:tc>
      </w:tr>
    </w:tbl>
    <w:p/>
    <w:p>
      <w:pPr>
        <w:pStyle w:val="Heading1"/>
        <w:keepNext/>
      </w:pPr>
      <w:r>
        <w:t>Negative and discordant findings retained</w:t>
      </w:r>
    </w:p>
    <w:p>
      <w:pPr>
        <w:pStyle w:val="ListBullet"/>
      </w:pPr>
      <w:r>
        <w:t>No pooled blood program reached P&lt;0.05 across the three formally published cohorts.</w:t>
      </w:r>
    </w:p>
    <w:p>
      <w:pPr>
        <w:pStyle w:val="ListBullet"/>
      </w:pPr>
      <w:r>
        <w:t>No participant-level PBMC module in PRJNA1293757 was significant after FDR correction with three cases and two controls.</w:t>
      </w:r>
    </w:p>
    <w:p>
      <w:pPr>
        <w:pStyle w:val="ListBullet"/>
      </w:pPr>
      <w:r>
        <w:t>The PXD002911 discovery workflow included pooled CSF material, so patient-level effect sizes and false-discovery rates were not estimated.</w:t>
      </w:r>
    </w:p>
    <w:p>
      <w:pPr>
        <w:pStyle w:val="ListBullet"/>
      </w:pPr>
      <w:r>
        <w:t>No CIDP-versus-CIAP cell-abundance contrast survived FDR correction except the restricted epithelial-like fraction result reported in the main manuscript.</w:t>
      </w:r>
    </w:p>
    <w:p>
      <w:pPr>
        <w:pStyle w:val="ListBullet"/>
      </w:pPr>
      <w:r>
        <w:t>Diagnosis-associated communication scores did not survive FDR correction.</w:t>
      </w:r>
    </w:p>
    <w:p>
      <w:pPr>
        <w:pStyle w:val="ListBullet"/>
      </w:pPr>
      <w:r>
        <w:t>CXCR1 and CXCR2 expression was strongest in granulocytic or myeloid populations rather than BNB endothelial cells.</w:t>
      </w:r>
    </w:p>
    <w:p>
      <w:pPr>
        <w:pStyle w:val="ListBullet"/>
      </w:pPr>
      <w:r>
        <w:t>Cross-compartment concordance was not interpreted as temporal progression, direct migration or causal signaling because blood, CSF and nerve were obtained from different cohorts.</w:t>
      </w:r>
    </w:p>
    <w:p>
      <w:pPr>
        <w:pStyle w:val="Heading1"/>
        <w:keepNext/>
      </w:pPr>
      <w:r>
        <w:t>Software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96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8064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Recorded environment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Python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3.x, platform independent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Core numerical packages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NumPy 2.3 to below 2.7, SciPy 1.17, pandas 2.2 to below 3.1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Statistical analysis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statsmodels 0.14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Visualization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matplotlib 3.9 or later within major version 3, seaborn 0.13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 input and output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h5py 3.16, openpyxl 3.1, xlrd 2.0, python-docx 1.2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Licenses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MIT for analysis code and CC BY 4.0 for repository-authored aggregate data and documentation</w:t>
            </w:r>
          </w:p>
        </w:tc>
      </w:tr>
    </w:tbl>
    <w:p/>
    <w:p>
      <w:pPr>
        <w:pStyle w:val="Heading1"/>
        <w:keepNext/>
      </w:pPr>
      <w:r>
        <w:t>Source-to-code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4608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File or component</w:t>
            </w:r>
          </w:p>
        </w:tc>
        <w:tc>
          <w:tcPr>
            <w:tcW w:type="dxa" w:w="6552"/>
            <w:shd w:fill="D9EA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Published-only blood sensitivity analysis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Recalculates acute-GBS meta-analysis using GSE211225, GSE31014 and PRJNA1293757.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CSF PXD002911 evidence table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Records published group counts, overlap and biological annotations with source URLs.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CIDP donor pseudobulk analysis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Retains donor-resolved GSE285983 cell-state results.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BNB reference mapping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Retains GSE107574 endothelial identity and response context.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Cross-compartment evidence map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Keeps blood, CSF and nerve evidence levels separate.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Figure-generation code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Rebuilds Figures 1, 2, 3, 5 and 6 for the compartmentalization framework.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Additional file 1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Maps each revised figure and table to machine-readable source worksheets.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Release metadata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15"/>
              </w:rPr>
              <w:t>Version 2.0.0 should supersede the earlier v1.0.0 analysis before resubmission.</w:t>
            </w:r>
          </w:p>
        </w:tc>
      </w:tr>
    </w:tbl>
    <w:p/>
    <w:p>
      <w:pPr>
        <w:pStyle w:val="Heading1"/>
        <w:keepNext/>
      </w:pPr>
      <w:r>
        <w:t>Data and code availability</w:t>
      </w:r>
    </w:p>
    <w:p>
      <w:r>
        <w:t>GitHub repository: https://github.com/applepie567/gbs-cidp-blood-nerve-barrier</w:t>
      </w:r>
    </w:p>
    <w:p>
      <w:r>
        <w:t>Previous archive: https://doi.org/10.5281/zenodo.22067879. This v1.0.0 archive predates the current blood-CSF-peripheral-nerve restructuring.</w:t>
      </w:r>
    </w:p>
    <w:p>
      <w:r>
        <w:t>Release the revised scripts, figures, source workbook and this appendix as version 2.0.0 in the existing Zenodo record, then update the manuscript with the new version DOI.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Additional file 2: Reproducibility and evidence appendix</dc:title>
  <dc:subject>Immune compartmentalization across blood, cerebrospinal fluid and peripheral nerve in Guillain-Barré syndrome and CIDP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