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jc w:val="center"/>
      </w:pPr>
      <w:r>
        <w:rPr>
          <w:rFonts w:ascii="Arial" w:hAnsi="Arial"/>
          <w:b/>
          <w:sz w:val="32"/>
        </w:rPr>
        <w:t>Cross-platform multi-omics analysis maps a myeloid–blood–nerve barrier–Schwann cell circuit across Guillain–Barré syndrome and CIDP</w:t>
      </w:r>
    </w:p>
    <w:p>
      <w:pPr>
        <w:spacing w:line="276" w:lineRule="auto"/>
        <w:jc w:val="center"/>
      </w:pPr>
      <w:r>
        <w:rPr>
          <w:b/>
          <w:sz w:val="20"/>
        </w:rPr>
        <w:t>Yuan Feng¹, Fang Feng², Shuxiao Ma¹, Shuman Feng¹, Chao Jiang¹*, Yibin Hao¹*</w:t>
      </w:r>
    </w:p>
    <w:p>
      <w:pPr>
        <w:spacing w:line="276" w:lineRule="auto"/>
        <w:jc w:val="center"/>
      </w:pPr>
      <w:r>
        <w:rPr>
          <w:b w:val="0"/>
          <w:sz w:val="20"/>
        </w:rPr>
        <w:t>¹ [Department, institution, city, postal code, country — AUTHOR CONFIRMATION REQUIRED]</w:t>
      </w:r>
    </w:p>
    <w:p>
      <w:pPr>
        <w:spacing w:line="276" w:lineRule="auto"/>
        <w:jc w:val="center"/>
      </w:pPr>
      <w:r>
        <w:rPr>
          <w:b w:val="0"/>
          <w:sz w:val="20"/>
        </w:rPr>
        <w:t>² [Department, institution, city, postal code, country — AUTHOR CONFIRMATION REQUIRED]</w:t>
      </w:r>
    </w:p>
    <w:p>
      <w:pPr>
        <w:spacing w:line="276" w:lineRule="auto"/>
        <w:jc w:val="center"/>
      </w:pPr>
      <w:r>
        <w:rPr>
          <w:b w:val="0"/>
          <w:sz w:val="20"/>
        </w:rPr>
        <w:t>* Correspondence: Chao Jiang ([email]) and Yibin Hao ([email]). Full postal address and telephone — AUTHOR CONFIRMATION REQUIRED.</w:t>
      </w:r>
    </w:p>
    <w:p>
      <w:pPr>
        <w:jc w:val="center"/>
      </w:pPr>
      <w:r>
        <w:rPr>
          <w:i/>
        </w:rPr>
        <w:t>Article type: Research Article</w:t>
      </w:r>
    </w:p>
    <w:p>
      <w:pPr>
        <w:jc w:val="center"/>
      </w:pPr>
      <w:r>
        <w:rPr>
          <w:i/>
        </w:rPr>
        <w:t>Running title: A blood–nerve barrier circuit in GBS and CIDP</w:t>
      </w:r>
    </w:p>
    <w:p>
      <w:pPr>
        <w:pStyle w:val="Heading1"/>
      </w:pPr>
      <w:r>
        <w:t>Abstract</w:t>
      </w:r>
    </w:p>
    <w:p>
      <w:r>
        <w:rPr>
          <w:b/>
        </w:rPr>
        <w:t xml:space="preserve">Background: </w:t>
      </w:r>
      <w:r>
        <w:t>The blood–nerve barrier (BNB) governs immune access to peripheral nerve, but the relationship between circulating inflammation, BNB endothelial responses and target-organ remodeling across Guillain–Barré syndrome (GBS) and chronic inflammatory demyelinating polyradiculoneuropathy (CIDP) remains incompletely defined.</w:t>
      </w:r>
    </w:p>
    <w:p>
      <w:r>
        <w:rPr>
          <w:b/>
        </w:rPr>
        <w:t xml:space="preserve">Methods: </w:t>
      </w:r>
      <w:r>
        <w:t>We integrated four acute GBS blood transcriptomic cohorts, paired acute-to-one-year serum proteomics, a human CIDP sural-nerve single-nucleus atlas and a normal human BNB reference. Prespecified programs captured CXCL8–CXCR1/2 recruitment, complement, Fc receptors, interferon/JAK–STAT signaling, transendothelial migration, BNB identity, macrophage states and Schwann-cell repair. Blood effects were synthesized by random-effects meta-analysis with Hartung–Knapp inference. Single-nucleus counts were aggregated by donor and cell state. Differential programs, composition and same-donor ligand–receptor–target coordination were evaluated without treating cells as independent replicates.</w:t>
      </w:r>
    </w:p>
    <w:p>
      <w:r>
        <w:rPr>
          <w:b/>
        </w:rPr>
        <w:t xml:space="preserve">Results: </w:t>
      </w:r>
      <w:r>
        <w:t>Acute GBS converged on a circulating myeloid recruitment program involving CXCL8–CXCR1/2, inflammatory monocytes, complement, Fc receptors and transendothelial migration. CXCL8–CXCR1/2 was positive in all four blood cohorts (random-effects Hedges g=1.18, I²=0%, Hartung–Knapp P=0.053). Paired proteomics separated declining interferon-related activity from persistent LIF/OSM and myeloid signals. CIDP nerve showed cell-state-selective remodeling. Complement and Fc-receptor programs localized to macrophages. Venular and capillary endothelial states retained junctional and adhesion machinery while showing altered interferon and antigen-presentation programs. Repair Schwann cells showed altered IRF1 and antigen-presentation activity. Same-donor analysis revealed coordinated changes across macrophage, endothelial and Schwann-cell programs. However, no individual interaction score remained significant after correction for multiple testing.</w:t>
      </w:r>
    </w:p>
    <w:p>
      <w:r>
        <w:rPr>
          <w:b/>
        </w:rPr>
        <w:t xml:space="preserve">Conclusions: </w:t>
      </w:r>
      <w:r>
        <w:t>The data map a BNB-centered sequence in which acute circulating recruitment is linked to chronic target-organ remodeling. This myeloid–BNB–Schwann cell framework prioritizes experimentally testable chemokine, adhesion, complement, Fc-receptor and trophic pathways for longitudinal studies of inflammatory peripheral neuropathy.</w:t>
      </w:r>
    </w:p>
    <w:p>
      <w:r>
        <w:rPr>
          <w:b/>
        </w:rPr>
        <w:t xml:space="preserve">Keywords: </w:t>
      </w:r>
      <w:r>
        <w:t>Guillain–Barré syndrome, chronic inflammatory demyelinating polyradiculoneuropathy, blood–nerve barrier, endoneurial endothelial cell, macrophage, Schwann cell, CXCL8, complement</w:t>
      </w:r>
    </w:p>
    <w:p>
      <w:pPr>
        <w:pStyle w:val="Heading1"/>
      </w:pPr>
      <w:r>
        <w:t>Background</w:t>
      </w:r>
    </w:p>
    <w:p>
      <w:r>
        <w:t>Guillain–Barré syndrome (GBS) is an acute immune-mediated polyradiculoneuropathy that usually reaches clinical nadir within four weeks, whereas chronic inflammatory demyelinating polyradiculoneuropathy (CIDP) follows a progressive or relapsing course [1–3]. Despite their different time scales, both disorders involve leukocyte recruitment, humoral immunity, macrophage-mediated myelin injury and Schwann-cell responses. Acute-onset CIDP and treatment-related fluctuations further show that early clinical boundaries do not always identify the underlying trajectory.</w:t>
      </w:r>
    </w:p>
    <w:p>
      <w:r>
        <w:t>Immune entry into peripheral nerve is regulated by the blood–nerve barrier (BNB), formed by tight-junction-bearing endoneurial microvascular endothelial cells and associated pericytes [4–7]. The BNB is anatomically and transcriptionally distinct from the blood–brain barrier and from the nonvascular perineurium. Endoneurial endothelial ICAM1, VCAM1, CCL2 and leukocyte integrins participate in inflammatory adhesion and transendothelial migration [7–9]. These features position the BNB as the anatomical interface linking circulating immune recruitment to peripheral nerve injury.</w:t>
      </w:r>
    </w:p>
    <w:p>
      <w:r>
        <w:t>Beyond entry, antibody and complement recognition engage macrophage Fc receptors and phagocytic programs, whereas injury-responsive Schwann cells adopt repair states that support debris clearance and axonal regeneration [10–24]. These observations suggest a multicellular sequence—circulating recruitment, endothelial engagement, macrophage effector activity and Schwann-cell repair—but the components have largely been examined in separate cohorts and compartments.</w:t>
      </w:r>
    </w:p>
    <w:p>
      <w:r>
        <w:t>We therefore integrated acute GBS blood transcriptomics, paired longitudinal serum proteomics, donor-resolved CIDP nerve single-nucleus data and a normal human BNB reference. We investigated which circulating programs were reproducible across acute GBS cohorts, how macrophage, BNB endothelial and Schwann-cell states were organized in CIDP nerve, and whether same-donor expression supported candidate routes linking these compartments. The analysis was designed to map expression-supported relationships and phase-specific programs rather than infer direct causal signaling.</w:t>
      </w:r>
    </w:p>
    <w:p>
      <w:pPr>
        <w:pStyle w:val="Heading1"/>
      </w:pPr>
      <w:r>
        <w:t>Methods</w:t>
      </w:r>
    </w:p>
    <w:p>
      <w:pPr>
        <w:pStyle w:val="Heading2"/>
      </w:pPr>
      <w:r>
        <w:t>Study design and datasets</w:t>
      </w:r>
    </w:p>
    <w:p>
      <w:r>
        <w:t>The study combined direct reanalysis of seven human resources. GSE211225 contained whole-blood expression profiles from 6 patients with acute GBS, 10 patients sampled in a post-acute phase and 6 healthy controls [25]. GSE31014 provided peripheral-blood leukocyte microarrays from 7 patients with GBS and 7 controls [26]. GSE304871 contained RNA sequencing from early untreated AIDP sorted into CD11b+, CD4+ and CD8+ fractions [27]. PRJNA1293757 provided PBMC single-cell RNA sequencing from 3 treatment-naive patients with AIDP and 2 controls [28].</w:t>
      </w:r>
    </w:p>
    <w:p>
      <w:r>
        <w:t>The GBS-Proteomics resource comprised SomaScan measurements from 20 patients sampled during acute disease and again after one year, together with 15 healthy controls [29]. GSE285983 contained 365,708 nuclei from 37 sural nerves, including 9 CIDP and 11 chronic idiopathic axonal polyneuropathy (CIAP) donors [30]. GSE107574 included cultured human endoneurial endothelial cells and laser-captured endoneurial microvessels and was used to define the BNB transcriptional context [5]. Author-reported monocyte pathway results from OEP002315/OEP002701 and rat sciatic-nerve RNA sequencing from experimental autoimmune neuritis (GSE133750) were used for biological comparison [31,32].</w:t>
      </w:r>
    </w:p>
    <w:p>
      <w:pPr>
        <w:pStyle w:val="Heading2"/>
      </w:pPr>
      <w:r>
        <w:t>Definition and scoring of biological programs</w:t>
      </w:r>
    </w:p>
    <w:p>
      <w:r>
        <w:t>Before performing group comparisons, we defined gene programs representing key components of immune-mediated peripheral nerve injury. These programs covered CXCL8–CXCR1/2-dependent leukocyte recruitment, LIF/OSM signaling through LIFR, OSMR and IL6ST, complement activation and regulation, Fc-gamma receptor signaling, interferon–JAK–STAT activity, inflammatory-monocyte responses, endothelial adhesion and transendothelial migration, BNB junctional integrity, macrophage residency and phagocytosis, and Schwann-cell myelin, stress and repair responses. Each program was scored using genes detected in the corresponding dataset. This approach enabled comparison of the same biological processes across platforms while retaining dataset-specific measurements.</w:t>
      </w:r>
    </w:p>
    <w:p>
      <w:pPr>
        <w:pStyle w:val="Heading2"/>
      </w:pPr>
      <w:r>
        <w:t>Acute GBS cohort analysis and meta-analysis</w:t>
      </w:r>
    </w:p>
    <w:p>
      <w:r>
        <w:t>Within each blood cohort, expression values were standardized by gene and averaged into participant-level program scores. Acute GBS was compared with healthy controls using Hedges g, with the sign defined so that positive values represented higher activity in acute disease. Comparable module effects from whole blood, leukocytes, sorted CD11b+ cells and monocyte pseudobulk were synthesized with random-effects models. Between-study heterogeneity was estimated from the cohort-specific effect sizes, Hartung-Knapp intervals were used for small-sample inference, and each cohort was removed in turn to evaluate influence [33,34]. Gene-level synthesis was restricted to genes measured in at least three cohorts.</w:t>
      </w:r>
    </w:p>
    <w:p>
      <w:pPr>
        <w:pStyle w:val="Heading2"/>
      </w:pPr>
      <w:r>
        <w:t>Longitudinal proteomic analysis</w:t>
      </w:r>
    </w:p>
    <w:p>
      <w:r>
        <w:t>SomaScan aptamers were mapped to gene symbols using the accompanying annotation. Acute and one-year samples were matched by participant identifier. Protein-program changes were calculated from within-participant differences and tested with paired statistics. Acute transcriptomic effects were then matched to serum-protein effects by gene symbol, their relationship was summarized by Spearman correlation and direction concordance.</w:t>
      </w:r>
    </w:p>
    <w:p>
      <w:pPr>
        <w:pStyle w:val="Heading2"/>
      </w:pPr>
      <w:r>
        <w:t>CIDP donor-by-cell-state pseudobulk</w:t>
      </w:r>
    </w:p>
    <w:p>
      <w:r>
        <w:t>Nuclei from GSE285983 were grouped by donor and annotated state. The focused analysis included two macrophage states, two venular/capillary endothelial states, myelinating, nonmyelinating, repair and damage Schwann cells, and three perineurial states. A donor-state combination was retained when at least 20 nuclei were available. Counts were summed, converted to log2 counts per million and filtered by expression prevalence. For each state, CIDP was compared with CIAP by linear models containing age and collection center. Because the CIDP group was male, the main results were also examined in a male-only comparison. False-discovery rates were calculated across all genes within each state [35–38].</w:t>
      </w:r>
    </w:p>
    <w:p>
      <w:pPr>
        <w:pStyle w:val="Heading2"/>
      </w:pPr>
      <w:r>
        <w:t>Pathway, regulon and cellular composition analysis</w:t>
      </w:r>
    </w:p>
    <w:p>
      <w:r>
        <w:t>Signed gene-level statistics were used for competitive enrichment of the prespecified pathways and transcription-factor target sets. This approach tested whether genes belonging to a program shifted more strongly than the remaining expressed genes. Cell-state abundance was analyzed as compositional data. A pseudocount of 0.5 was added to donor-level cell counts, proportions were transformed by the centered log ratio, and diagnosis effects were estimated with age and center included in the model [39].</w:t>
      </w:r>
    </w:p>
    <w:p>
      <w:pPr>
        <w:pStyle w:val="Heading2"/>
      </w:pPr>
      <w:r>
        <w:t>Same-donor intercellular analysis</w:t>
      </w:r>
    </w:p>
    <w:p>
      <w:r>
        <w:t>Intercellular analysis was organized around source ligand, receiver receptor and receiver response genes measured in the same donor. Macrophages were treated as the principal source population, venular/capillary endothelial and Schwann-cell states as receivers, and interaction scores combined standardized ligand, receptor and target expression. The tested network included CXCL8-CXCR1/2, OSM/LIF-gp130, TNF, IL1B, CCL2, CSF1, complement, VCAM1-integrin and matrix-remodeling routes. Diagnosis effects were estimated at donor level, while ligand-target coordination was measured by Spearman correlation across donors [40,41].</w:t>
      </w:r>
    </w:p>
    <w:p>
      <w:pPr>
        <w:pStyle w:val="Heading2"/>
      </w:pPr>
      <w:r>
        <w:t>Statistical analysis</w:t>
      </w:r>
    </w:p>
    <w:p>
      <w:r>
        <w:t>Participants and tissue donors were the units of inference. Benjamini-Hochberg correction was applied within each declared family of genes, pathways, abundance states or interactions. Effect sizes and confidence intervals accompany P values throughout the results. Analyses were performed in Python using versioned scripts supplied with the article.</w:t>
      </w:r>
    </w:p>
    <w:p>
      <w:pPr>
        <w:pStyle w:val="Heading1"/>
      </w:pPr>
      <w:r>
        <w:t>Results</w:t>
      </w:r>
    </w:p>
    <w:p>
      <w:pPr>
        <w:pStyle w:val="Heading2"/>
      </w:pPr>
      <w:r>
        <w:t>Study architecture centers the BNB within a multi-compartment design</w:t>
      </w:r>
    </w:p>
    <w:p>
      <w:r>
        <w:t>The integrated dataset spanned the principal compartments involved in inflammatory peripheral neuropathy. Four blood cohorts captured acute GBS at whole-blood, leukocyte, sorted-myeloid and single-cell resolution. The longitudinal serum cohort followed the same 20 patients from acute disease to one year. The CIDP atlas provided target-organ resolution across macrophages, endothelial cells, Schwann cells and perineurial cells, while GSE107574 established the transcriptional identity of human endoneurial microvessels. This arrangement allowed circulating recruitment, longitudinal protein change and nerve-resident responses to be examined as consecutive parts of one biological process (Fig. 1 and Table 1).</w:t>
      </w:r>
    </w:p>
    <w:p>
      <w:pPr>
        <w:pStyle w:val="Heading2"/>
      </w:pPr>
      <w:r>
        <w:t>Acute GBS converges on a circulating myeloid recruitment program</w:t>
      </w:r>
    </w:p>
    <w:p>
      <w:r>
        <w:t>GSE211225 showed a broad acute response in whole blood. Compared with healthy controls, patients with acute GBS had higher activity of the CXCL8–CXCR1/2 program (Hedges g=1.25, FDR=0.045), LIF/OSM–gp130 signaling (Hedges g=2.19, FDR=0.0076), complement (Hedges g=2.49, FDR=0.0076), Fc-receptor signaling (Hedges g=1.36, FDR=0.038), interferon–JAK–STAT signaling (Hedges g=1.07, FDR=0.045) and the inflammatory-monocyte program (Hedges g=1.93, FDR=0.015). This pattern linked chemotactic recruitment to humoral effector activity rather than to a single dominant transcript (Fig. 2).</w:t>
      </w:r>
    </w:p>
    <w:p>
      <w:r>
        <w:t>Comparison with post-acute samples identified the programs most closely associated with the acute phase. Acute GBS showed higher complement activity (Hedges g=1.35, FDR=0.041), Fc-receptor signaling (Hedges g=1.23, FDR=0.046), transendothelial migration (Hedges g=1.59, FDR=0.024) and inflammatory-monocyte activity (Hedges g=1.68, FDR=0.024). CXCL8–CXCR1/2 and LIF/OSM–gp130 signaling remained directionally elevated but showed smaller phase contrasts. These findings distinguished an acute recruitment and effector program from responses that may persist beyond neurological nadir.</w:t>
      </w:r>
    </w:p>
    <w:p>
      <w:r>
        <w:t>Independent datasets localized much of this response to the myeloid compartment. In GSE31014, the effects for CXCL8–CXCR1/2, Fc-receptor signaling and transendothelial migration were positive, and the inflammatory-monocyte program had a Hedges g of 1.17. Sorted CD11b+ cells from patients with early untreated AIDP showed positive effects for CXCL8, OSM, C3, CCL2 and CCR1. In PRJNA1293757, CXCL8 activity was concentrated in monocytes. Although the cohorts differed in platform and cellular composition, each associated chemokine-driven recruitment with the acute myeloid response.</w:t>
      </w:r>
    </w:p>
    <w:p>
      <w:r>
        <w:t>All seven prespecified programs had positive random-effects estimates across the four acute GBS datasets. CXCL8–CXCR1/2 was positive in every cohort and showed no detectable between-study heterogeneity (random-effects Hedges g=1.18, I²=0%, Hartung–Knapp P=0.053). The summary Hedges g was 1.01 for the inflammatory-monocyte program and 0.65 for transendothelial migration. Complement had a summary Hedges g of 0.76 with moderate heterogeneity (I²=56.5%). Effects for LIF/OSM–gp130 and Fc-receptor signaling varied more widely among whole blood, sorted cells and PBMC monocytes (Fig. 2).</w:t>
      </w:r>
    </w:p>
    <w:p>
      <w:r>
        <w:t>Leave-one-cohort-out analysis preserved the positive direction of the CXCL8–CXCR1/2 program. Removing individual cohorts widened the confidence intervals but did not reverse the effect. At the gene level, 89 transcripts were measured in at least three datasets, although their effects were less stable than the program-level estimates. The cross-cohort analysis therefore identified recruitment as a coordinated biological feature and CXCL8–CXCR1/2 as its most reproducible component.</w:t>
      </w:r>
    </w:p>
    <w:p>
      <w:pPr>
        <w:pStyle w:val="Heading2"/>
      </w:pPr>
      <w:r>
        <w:t>Longitudinal proteomics resolves distinct recovery trajectories</w:t>
      </w:r>
    </w:p>
    <w:p>
      <w:r>
        <w:t>The paired proteomic cohort distinguished persistent circulating differences from changes occurring during recovery. The LIF/OSM–gp130 and inflammatory-monocyte protein programs were higher in acute GBS than in healthy controls and remained elevated at one year. Interferon–JAK–STAT activity declined within participants (paired P=0.0168, FDR=0.118). CXCL8–CXCR1/2 and transendothelial-migration programs showed smaller decreases that varied according to the statistical test. Complement and LIF/OSM–gp130 signaling did not show a uniform decline from the acute phase to recovery (Fig. 3).</w:t>
      </w:r>
    </w:p>
    <w:p>
      <w:r>
        <w:t>Transcriptomic and proteomic effects captured different aspects of the response. Among 65 genes represented in both acute blood transcriptomics and serum proteomics, the Spearman correlation was 0.031 and directional concordance was 58.5%. Cellular transcription, secretion, tissue release and protein clearance therefore provided distinct molecular views of the same clinical phase. Candidates supported by cellular localization and pathway coherence were more informative than those selected solely on the basis of RNA–protein agreement.</w:t>
      </w:r>
    </w:p>
    <w:p>
      <w:pPr>
        <w:pStyle w:val="Heading2"/>
      </w:pPr>
      <w:r>
        <w:t>CIDP nerve resolves macrophage, BNB endothelial and Schwann-cell programs</w:t>
      </w:r>
    </w:p>
    <w:p>
      <w:r>
        <w:t>The sural-nerve atlas resolved the proposed circuit within the target organ. Complement and Fc-receptor genes were concentrated in macrophage states. Endothelial states expressed CLDN5, OCLN, TJP1 and CDH5 together with IL6ST, LIFR, OSMR, ICAM1 and VCAM1. Schwann-cell states expressed gp130-family receptors alongside genes involved in myelin maintenance, cellular stress and repair. Granulocytes showed the strongest CXCR1/2 expression, whereas endothelial expression was lower. This distribution positioned CXCL8 primarily as a signal for leukocyte recruitment and myeloid amplification (Fig. 4).</w:t>
      </w:r>
    </w:p>
    <w:p>
      <w:r>
        <w:t>Normal endoneurial microvessels in GSE107574 showed a similar vascular framework, including CLDN5, OCLN, TJP1, CDH5, VWF, LIFR, IL6ST, ICAM1 and C3. The human BNB reference therefore linked the endothelial states identified in CIDP nerve to a specialized peripheral vascular interface equipped for cytokine reception, complement regulation and leukocyte adhesion.</w:t>
      </w:r>
    </w:p>
    <w:p>
      <w:r>
        <w:t>Donor-level analysis across all expressed genes did not identify a single transcript that passed state-wide FDR correction. Pathway analysis nevertheless revealed a coordinated shift in Macro2 macrophages. SPI1 target activity (FDR=0.0022), the resident-macrophage program (FDR=0.0027), Fc-gamma phagocytosis (FDR=0.0046) and interferon/IRF7 activity (FDR=0.0046) were lower in CIDP than in CIAP. This pattern was consistent with the lower macrophage Fc-receptor score observed in CIDP (difference in standardized score=-0.673, FDR=0.0087).</w:t>
      </w:r>
    </w:p>
    <w:p>
      <w:r>
        <w:t>The macrophage result indicates reorganization of the nerve myeloid compartment rather than a uniform rise in inflammatory expression. CIAP nerves also contain axonal injury, myelin breakdown and phagocyte recruitment, the CIDP-CIAP contrast therefore highlights differences in macrophage state selection and chronic immune exposure. The convergence of SPI1, residency, Fc phagocytosis and interferon programs identifies Macro2 as the principal macrophage state separating the two neuropathies.</w:t>
      </w:r>
    </w:p>
    <w:p>
      <w:r>
        <w:t>Endothelial changes were state specific. CIDP was associated with lower interferon-response and IRF7 programs in the first venular/capillary endothelial subtype (both FDR=0.0035). Antigen-presentation activity was lower in the second venular/capillary endothelial subtype (FDR=0.0037). Junctional and adhesion genes remained readily detectable, indicating preservation of endothelial identity alongside altered immune-response programs. Together, these endothelial populations define a vascular setting for leukocyte arrest and passage into endoneurial tissue.</w:t>
      </w:r>
    </w:p>
    <w:p>
      <w:r>
        <w:t>Repair Schwann cells showed lower IRF1 target activity (FDR=0.0080) and antigen presentation (FDR=0.0116). The result links the endothelial and glial compartments through a shared change in interferon-responsive antigen processing. Schwann cells simultaneously retained repair and stress programs, consistent with their transition from myelin maintenance to debris clearance, macrophage recruitment and regenerative support after nerve injury.</w:t>
      </w:r>
    </w:p>
    <w:p>
      <w:r>
        <w:t>Compositional analysis identified a lower epithelial-like cell fraction in CIDP after centered-log-ratio transformation (FDR=0.037). Damage Schwann cells, nonmyelinating Schwann cells and the second venular/capillary endothelial subtype showed directional abundance changes that did not pass FDR correction. The dominant CIDP signal was therefore transcriptional reorganization within cell states, accompanied by a restricted change in cellular composition.</w:t>
      </w:r>
    </w:p>
    <w:p>
      <w:pPr>
        <w:pStyle w:val="Heading2"/>
      </w:pPr>
      <w:r>
        <w:t>Same-donor coupling supports a BNB-centered tissue circuit</w:t>
      </w:r>
    </w:p>
    <w:p>
      <w:r>
        <w:t>Ligand-receptor-target analysis connected source and receiver populations within individual nerves. TNF and IL1B expression in macrophages tracked repair-Schwann response genes, while CCL2, VCAM1-integrin, CSF1 and VEGF routes linked myeloid, endothelial and glial programs. These relationships placed inflammatory cytokines upstream of endothelial adhesion and Schwann-cell repair modules and provided donor-level support for the multicellular architecture.</w:t>
      </w:r>
    </w:p>
    <w:p>
      <w:r>
        <w:t>Interaction scores varied among donors, and diagnosis-associated differences did not pass FDR correction. The strongest OSM-endothelial ligand-target correlation arose in samples with minimal OSM expression and was not retained as a biological edge. The expression-supported network instead centered on TNF/IL1, chemokine recruitment, endothelial adhesion and macrophage-Schwann trophic interactions.</w:t>
      </w:r>
    </w:p>
    <w:p>
      <w:r>
        <w:t>An integrated recruitment-barrier-effector-repair sequence spans acute and chronic disease</w:t>
      </w:r>
    </w:p>
    <w:p>
      <w:pPr>
        <w:pStyle w:val="Heading2"/>
      </w:pPr>
      <w:r>
        <w:t>Cross-compartment synthesis links recruitment to target-organ remodeling</w:t>
      </w:r>
    </w:p>
    <w:p>
      <w:r>
        <w:t>GBS and CIDP occupied different regions of this sequence. Acute GBS emphasized circulating recruitment and humoral amplification. CIDP nerve emphasized cell-state remodeling within macrophage, endothelial and Schwann compartments. The model therefore describes a change in the location and organization of immune activity as disease becomes chronic, rather than a linear decline or increase in one inflammatory score.</w:t>
      </w:r>
    </w:p>
    <w:p>
      <w:pPr>
        <w:pStyle w:val="Heading1"/>
      </w:pPr>
      <w:r>
        <w:t>Discussion</w:t>
      </w:r>
    </w:p>
    <w:p>
      <w:r>
        <w:t>This cross-platform analysis places the BNB at the center of a multicellular response spanning acute GBS blood and chronically injured CIDP nerve. Acute GBS was dominated by a reproducible myeloid recruitment program, whereas CIDP tissue contained selective macrophage, endothelial and Schwann-cell remodeling. The results therefore support a change in the location and organization of immune activity rather than a single inflammatory scale shared by both diseases.</w:t>
      </w:r>
    </w:p>
    <w:p>
      <w:r>
        <w:t>CXCL8–CXCR1/2 was the most directionally stable acute program. Whole blood showed simultaneous chemokine, complement, Fc-receptor, interferon and inflammatory-monocyte activity, and independent leukocyte, CD11b+ and PBMC datasets localized much of this response to myeloid populations. Its consistency across heterogeneous sources is compatible with elevated IL-8 in GBS biofluids and with chemokine- and integrin-dependent leukocyte trafficking at human endoneurial endothelium [7,10,12,42].</w:t>
      </w:r>
    </w:p>
    <w:p>
      <w:r>
        <w:t>The cellular distribution clarifies how CXCL8 may operate at the BNB. CXCR1/2 expression was strongest in granulocytic and myeloid populations, whereas venular/capillary endothelial states expressed junctional and adhesion machinery. CXCL8 is therefore positioned primarily as a luminal recruitment and myeloid-amplification signal rather than a dominant endothelial receptor pathway. A direct test would expose human BNB models to patient biofluids under flow and quantify leukocyte arrest, passage and permeability with CXCR1/2 or ICAM1 blockade.</w:t>
      </w:r>
    </w:p>
    <w:p>
      <w:r>
        <w:t>Paired proteomics showed that recovery was not a uniform reversal of the acute transcriptome. Interferon-related proteins declined most clearly within participants, whereas LIF/OSM and inflammatory-myeloid programs remained elevated. LIF-family signaling can support Schwann-cell survival and repair [22–24], so persistence may reflect continuing tissue restoration as well as residual inflammation. The weak RNA–protein correlation also indicates that cellular transcription, secretion, tissue release and clearance provide different views of disease phase.</w:t>
      </w:r>
    </w:p>
    <w:p>
      <w:r>
        <w:t>CIDP nerve was characterized by cell-state-selective remodeling. Macro2 macrophages showed coordinated differences in SPI1, resident-macrophage, Fc-phagocytosis and interferon programs relative to CIAP. Because CIAP is itself an injured-nerve comparator, these differences are more consistent with altered state selection, chronic immune exposure and treatment history than with a simple increase in macrophage abundance. IVIg-associated changes in activating and inhibitory Fc-receptor balance provide one plausible contribution [11], but treatment effects cannot be isolated in the available tissue cohort.</w:t>
      </w:r>
    </w:p>
    <w:p>
      <w:r>
        <w:t>BNB endothelial and repair Schwann-cell states shared altered interferon and antigen-presentation programs while retaining vascular or glial identity. This pattern places endoneurial endothelium between systemic recruitment and intraneural responses and suggests that antigen handling is coordinated across multiple resident compartments. The normal BNB reference independently confirmed expression of junctional, cytokine-receptor, complement-regulatory and adhesion genes in human endoneurial microvessels.</w:t>
      </w:r>
    </w:p>
    <w:p>
      <w:r>
        <w:t>Same-donor analysis provided expression-level support for the proposed tissue circuit, including inflammatory macrophage ligands associated with endothelial adhesion and Schwann-cell response modules. These results do not establish direct cell–cell signaling: diagnosis-associated interaction scores were modest, and spatial proximity was not measured. Spatial transcriptomics, multiplex imaging and perturbation in human BNB co-culture systems will be needed to determine whether the predicted source and receiver populations occupy and communicate within the same endoneurial niches.</w:t>
      </w:r>
    </w:p>
    <w:p>
      <w:r>
        <w:t>The study is limited by small blood cohorts, platform and tissue heterogeneity, and the absence of matched blood, cerebrospinal fluid and nerve from the same participants. CIDP was compared primarily with CIAP rather than healthy nerve, and disease duration and treatment may contribute to tissue-state differences. These constraints are partly addressed by participant/donor-level inference, random-effects synthesis and explicit separation of direct measurements from expression-supported mechanisms. A prospective design should include pretreatment acute GBS, recovery, active CIDP and timed pre/post-IVIg sampling combined with BNB flow assays and cell-resolved protein measurements.</w:t>
      </w:r>
    </w:p>
    <w:p>
      <w:pPr>
        <w:pStyle w:val="Heading1"/>
      </w:pPr>
      <w:r>
        <w:t>Conclusions</w:t>
      </w:r>
    </w:p>
    <w:p>
      <w:r>
        <w:t>Across blood, serum and peripheral nerve, inflammatory neuropathy was organized around a myeloid–BNB–Schwann cell axis. Acute GBS showed reproducible CXCL8-centered recruitment, whereas CIDP nerve displayed selective macrophage Fc/interferon remodeling, BNB endothelial antigen-response changes and Schwann-cell repair programs. The resulting barrier-centered model provides specific hypotheses for longitudinal biomarkers and functional studies of leukocyte trafficking at the human BNB.</w:t>
      </w:r>
    </w:p>
    <w:p>
      <w:pPr>
        <w:pStyle w:val="Heading1"/>
      </w:pPr>
      <w:r>
        <w:t>List of abbreviations</w:t>
      </w:r>
    </w:p>
    <w:p>
      <w:r>
        <w:t>AIDP, acute inflammatory demyelinating polyradiculoneuropathy, BNB, blood-nerve barrier, CIAP, chronic idiopathic axonal polyneuropathy, CIDP, chronic inflammatory demyelinating polyradiculoneuropathy, EAN, experimental autoimmune neuritis, FDR, false-discovery rate, GBS, Guillain-Barré syndrome, IVIg, intravenous immunoglobulin, PBMC, peripheral-blood mononuclear cell.</w:t>
      </w:r>
    </w:p>
    <w:p>
      <w:pPr>
        <w:pStyle w:val="Heading1"/>
      </w:pPr>
      <w:r>
        <w:t>Declarations</w:t>
      </w:r>
    </w:p>
    <w:p>
      <w:pPr>
        <w:pStyle w:val="Heading2"/>
      </w:pPr>
      <w:r>
        <w:t>Ethics approval and consent to participate</w:t>
      </w:r>
    </w:p>
    <w:p>
      <w:r>
        <w:t>This study reanalyzed publicly available, de-identified human datasets and did not recruit participants or obtain new specimens. The original studies reported ethics approval and informed consent. No additional institutional review-board approval was required for the present secondary analysis. This statement must be confirmed against the authors’ institutional policy before submission.</w:t>
      </w:r>
    </w:p>
    <w:p>
      <w:pPr>
        <w:pStyle w:val="Heading2"/>
      </w:pPr>
      <w:r>
        <w:t>Consent for publication</w:t>
      </w:r>
    </w:p>
    <w:p>
      <w:r>
        <w:t>Not applicable.</w:t>
      </w:r>
    </w:p>
    <w:p>
      <w:pPr>
        <w:pStyle w:val="Heading2"/>
      </w:pPr>
      <w:r>
        <w:t>Availability of data and materials</w:t>
      </w:r>
    </w:p>
    <w:p>
      <w:r>
        <w:t>All primary datasets are publicly available through GEO, NCBI BioProject or the source repositories under the accession numbers listed in the Methods and References. Source data underlying the figures and tables are included in Additional file 1 and in the accompanying public GitHub repository. No new individual-level clinical dataset was generated.</w:t>
      </w:r>
    </w:p>
    <w:p>
      <w:pPr>
        <w:pStyle w:val="Heading2"/>
      </w:pPr>
      <w:r>
        <w:t>Code availability</w:t>
      </w:r>
    </w:p>
    <w:p>
      <w:r>
        <w:t>Versioned analysis scripts, figure-generation code and aggregate source data are available at https://github.com/applepie567/gbs-cidp-blood-nerve-barrier. A permanent DOI will be added after the verified release is archived in Zenodo.</w:t>
      </w:r>
    </w:p>
    <w:p>
      <w:pPr>
        <w:pStyle w:val="Heading2"/>
      </w:pPr>
      <w:r>
        <w:t>Competing interests</w:t>
      </w:r>
    </w:p>
    <w:p>
      <w:r>
        <w:t>[AUTHOR CONFIRMATION REQUIRED: if none, replace with “The authors declare that they have no competing interests.”]</w:t>
      </w:r>
    </w:p>
    <w:p>
      <w:pPr>
        <w:pStyle w:val="Heading2"/>
      </w:pPr>
      <w:r>
        <w:t>Funding</w:t>
      </w:r>
    </w:p>
    <w:p>
      <w:r>
        <w:t>[AUTHOR CONFIRMATION REQUIRED: provide funder names, grant numbers and the role of each funder, or state that the study received no specific funding.]</w:t>
      </w:r>
    </w:p>
    <w:p>
      <w:pPr>
        <w:pStyle w:val="Heading2"/>
      </w:pPr>
      <w:r>
        <w:t>Authors’ contributions</w:t>
      </w:r>
    </w:p>
    <w:p>
      <w: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 All authors must confirm that they have read and approved the final manuscript.</w:t>
      </w:r>
    </w:p>
    <w:p>
      <w:pPr>
        <w:pStyle w:val="Heading2"/>
      </w:pPr>
      <w:r>
        <w:t>Acknowledgements</w:t>
      </w:r>
    </w:p>
    <w:p>
      <w:r>
        <w:t>We thank the participants and investigators who generated and shared the public datasets used in this study. During preparation of the manuscript, the authors used OpenAI ChatGPT Work and Codex to assist with code scaffolding, documentation and language editing. The authors reviewed and verified all outputs and take full responsibility for the content of the manuscript.</w:t>
      </w:r>
    </w:p>
    <w:p>
      <w:pPr>
        <w:pStyle w:val="Heading2"/>
      </w:pPr>
      <w:r>
        <w:t>Authors’ information</w:t>
      </w:r>
    </w:p>
    <w:p>
      <w:r>
        <w:t>Not applicable.</w:t>
      </w:r>
    </w:p>
    <w:p>
      <w:pPr>
        <w:pStyle w:val="Heading1"/>
      </w:pPr>
      <w:r>
        <w:t>Additional files</w:t>
      </w:r>
    </w:p>
    <w:p>
      <w:r>
        <w:t>Additional file 1 (.xlsx): Machine-readable figure, table and panel-level source data.</w:t>
      </w:r>
    </w:p>
    <w:p>
      <w:r>
        <w:t>Additional file 2 (.docx): Reproducibility appendix, dataset provenance, software environment and extended methods.</w:t>
      </w:r>
    </w:p>
    <w:p>
      <w:r>
        <w:t>Additional file 3 (.zip): Versioned analysis code and configuration files.</w:t>
      </w:r>
    </w:p>
    <w:p>
      <w:pPr>
        <w:pStyle w:val="Heading1"/>
      </w:pPr>
      <w:r>
        <w:t>Tables</w:t>
      </w:r>
    </w:p>
    <w:p>
      <w:r>
        <w:rPr>
          <w:b/>
        </w:rPr>
        <w:t>Table 1. Datasets and analytical roles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vAlign w:val="center"/>
          </w:tcPr>
          <w:p>
            <w:pPr>
              <w:spacing w:line="240" w:lineRule="auto" w:after="0"/>
            </w:pPr>
            <w:r>
              <w:rPr>
                <w:rFonts w:ascii="Arial" w:hAnsi="Arial"/>
                <w:b/>
                <w:sz w:val="15"/>
              </w:rPr>
              <w:t>Resource</w:t>
            </w:r>
          </w:p>
        </w:tc>
        <w:tc>
          <w:tcPr>
            <w:tcW w:type="dxa" w:w="2448"/>
            <w:vAlign w:val="center"/>
          </w:tcPr>
          <w:p>
            <w:pPr>
              <w:spacing w:line="240" w:lineRule="auto" w:after="0"/>
            </w:pPr>
            <w:r>
              <w:rPr>
                <w:rFonts w:ascii="Arial" w:hAnsi="Arial"/>
                <w:b/>
                <w:sz w:val="15"/>
              </w:rPr>
              <w:t>Material</w:t>
            </w:r>
          </w:p>
        </w:tc>
        <w:tc>
          <w:tcPr>
            <w:tcW w:type="dxa" w:w="3312"/>
            <w:vAlign w:val="center"/>
          </w:tcPr>
          <w:p>
            <w:pPr>
              <w:spacing w:line="240" w:lineRule="auto" w:after="0"/>
            </w:pPr>
            <w:r>
              <w:rPr>
                <w:rFonts w:ascii="Arial" w:hAnsi="Arial"/>
                <w:b/>
                <w:sz w:val="15"/>
              </w:rPr>
              <w:t>Participants or samples</w:t>
            </w:r>
          </w:p>
        </w:tc>
        <w:tc>
          <w:tcPr>
            <w:tcW w:type="dxa" w:w="3312"/>
            <w:vAlign w:val="center"/>
          </w:tcPr>
          <w:p>
            <w:pPr>
              <w:spacing w:line="240" w:lineRule="auto" w:after="0"/>
            </w:pPr>
            <w:r>
              <w:rPr>
                <w:rFonts w:ascii="Arial" w:hAnsi="Arial"/>
                <w:b/>
                <w:sz w:val="15"/>
              </w:rPr>
              <w:t>Analytical role</w:t>
            </w:r>
          </w:p>
        </w:tc>
      </w:tr>
      <w:tr>
        <w:tc>
          <w:tcPr>
            <w:tcW w:type="dxa" w:w="1800"/>
            <w:vAlign w:val="center"/>
          </w:tcPr>
          <w:p>
            <w:pPr>
              <w:spacing w:line="240" w:lineRule="auto" w:after="0"/>
            </w:pPr>
            <w:r>
              <w:rPr>
                <w:rFonts w:ascii="Arial" w:hAnsi="Arial"/>
                <w:b w:val="0"/>
                <w:sz w:val="15"/>
              </w:rPr>
              <w:t>GSE211225</w:t>
            </w:r>
          </w:p>
        </w:tc>
        <w:tc>
          <w:tcPr>
            <w:tcW w:type="dxa" w:w="2448"/>
            <w:vAlign w:val="center"/>
          </w:tcPr>
          <w:p>
            <w:pPr>
              <w:spacing w:line="240" w:lineRule="auto" w:after="0"/>
            </w:pPr>
            <w:r>
              <w:rPr>
                <w:rFonts w:ascii="Arial" w:hAnsi="Arial"/>
                <w:b w:val="0"/>
                <w:sz w:val="15"/>
              </w:rPr>
              <w:t>Whole-blood transcriptomics</w:t>
            </w:r>
          </w:p>
        </w:tc>
        <w:tc>
          <w:tcPr>
            <w:tcW w:type="dxa" w:w="3312"/>
            <w:vAlign w:val="center"/>
          </w:tcPr>
          <w:p>
            <w:pPr>
              <w:spacing w:line="240" w:lineRule="auto" w:after="0"/>
            </w:pPr>
            <w:r>
              <w:rPr>
                <w:rFonts w:ascii="Arial" w:hAnsi="Arial"/>
                <w:b w:val="0"/>
                <w:sz w:val="15"/>
              </w:rPr>
              <w:t>6 acute GBS, 10 post-acute, 6 controls</w:t>
            </w:r>
          </w:p>
        </w:tc>
        <w:tc>
          <w:tcPr>
            <w:tcW w:type="dxa" w:w="3312"/>
            <w:vAlign w:val="center"/>
          </w:tcPr>
          <w:p>
            <w:pPr>
              <w:spacing w:line="240" w:lineRule="auto" w:after="0"/>
            </w:pPr>
            <w:r>
              <w:rPr>
                <w:rFonts w:ascii="Arial" w:hAnsi="Arial"/>
                <w:b w:val="0"/>
                <w:sz w:val="15"/>
              </w:rPr>
              <w:t>Phase contrasts and program effects</w:t>
            </w:r>
          </w:p>
        </w:tc>
      </w:tr>
      <w:tr>
        <w:tc>
          <w:tcPr>
            <w:tcW w:type="dxa" w:w="1800"/>
            <w:vAlign w:val="center"/>
          </w:tcPr>
          <w:p>
            <w:pPr>
              <w:spacing w:line="240" w:lineRule="auto" w:after="0"/>
            </w:pPr>
            <w:r>
              <w:rPr>
                <w:rFonts w:ascii="Arial" w:hAnsi="Arial"/>
                <w:b w:val="0"/>
                <w:sz w:val="15"/>
              </w:rPr>
              <w:t>GSE31014</w:t>
            </w:r>
          </w:p>
        </w:tc>
        <w:tc>
          <w:tcPr>
            <w:tcW w:type="dxa" w:w="2448"/>
            <w:vAlign w:val="center"/>
          </w:tcPr>
          <w:p>
            <w:pPr>
              <w:spacing w:line="240" w:lineRule="auto" w:after="0"/>
            </w:pPr>
            <w:r>
              <w:rPr>
                <w:rFonts w:ascii="Arial" w:hAnsi="Arial"/>
                <w:b w:val="0"/>
                <w:sz w:val="15"/>
              </w:rPr>
              <w:t>Blood leukocyte microarray</w:t>
            </w:r>
          </w:p>
        </w:tc>
        <w:tc>
          <w:tcPr>
            <w:tcW w:type="dxa" w:w="3312"/>
            <w:vAlign w:val="center"/>
          </w:tcPr>
          <w:p>
            <w:pPr>
              <w:spacing w:line="240" w:lineRule="auto" w:after="0"/>
            </w:pPr>
            <w:r>
              <w:rPr>
                <w:rFonts w:ascii="Arial" w:hAnsi="Arial"/>
                <w:b w:val="0"/>
                <w:sz w:val="15"/>
              </w:rPr>
              <w:t>7 GBS, 7 controls</w:t>
            </w:r>
          </w:p>
        </w:tc>
        <w:tc>
          <w:tcPr>
            <w:tcW w:type="dxa" w:w="3312"/>
            <w:vAlign w:val="center"/>
          </w:tcPr>
          <w:p>
            <w:pPr>
              <w:spacing w:line="240" w:lineRule="auto" w:after="0"/>
            </w:pPr>
            <w:r>
              <w:rPr>
                <w:rFonts w:ascii="Arial" w:hAnsi="Arial"/>
                <w:b w:val="0"/>
                <w:sz w:val="15"/>
              </w:rPr>
              <w:t>Independent direction check</w:t>
            </w:r>
          </w:p>
        </w:tc>
      </w:tr>
      <w:tr>
        <w:tc>
          <w:tcPr>
            <w:tcW w:type="dxa" w:w="1800"/>
            <w:vAlign w:val="center"/>
          </w:tcPr>
          <w:p>
            <w:pPr>
              <w:spacing w:line="240" w:lineRule="auto" w:after="0"/>
            </w:pPr>
            <w:r>
              <w:rPr>
                <w:rFonts w:ascii="Arial" w:hAnsi="Arial"/>
                <w:b w:val="0"/>
                <w:sz w:val="15"/>
              </w:rPr>
              <w:t>GSE304871</w:t>
            </w:r>
          </w:p>
        </w:tc>
        <w:tc>
          <w:tcPr>
            <w:tcW w:type="dxa" w:w="2448"/>
            <w:vAlign w:val="center"/>
          </w:tcPr>
          <w:p>
            <w:pPr>
              <w:spacing w:line="240" w:lineRule="auto" w:after="0"/>
            </w:pPr>
            <w:r>
              <w:rPr>
                <w:rFonts w:ascii="Arial" w:hAnsi="Arial"/>
                <w:b w:val="0"/>
                <w:sz w:val="15"/>
              </w:rPr>
              <w:t>Sorted blood RNA-seq</w:t>
            </w:r>
          </w:p>
        </w:tc>
        <w:tc>
          <w:tcPr>
            <w:tcW w:type="dxa" w:w="3312"/>
            <w:vAlign w:val="center"/>
          </w:tcPr>
          <w:p>
            <w:pPr>
              <w:spacing w:line="240" w:lineRule="auto" w:after="0"/>
            </w:pPr>
            <w:r>
              <w:rPr>
                <w:rFonts w:ascii="Arial" w:hAnsi="Arial"/>
                <w:b w:val="0"/>
                <w:sz w:val="15"/>
              </w:rPr>
              <w:t>CD11b+: 2/3, CD4+: 3/3, CD8+: 2/3 case/control</w:t>
            </w:r>
          </w:p>
        </w:tc>
        <w:tc>
          <w:tcPr>
            <w:tcW w:type="dxa" w:w="3312"/>
            <w:vAlign w:val="center"/>
          </w:tcPr>
          <w:p>
            <w:pPr>
              <w:spacing w:line="240" w:lineRule="auto" w:after="0"/>
            </w:pPr>
            <w:r>
              <w:rPr>
                <w:rFonts w:ascii="Arial" w:hAnsi="Arial"/>
                <w:b w:val="0"/>
                <w:sz w:val="15"/>
              </w:rPr>
              <w:t>Early untreated immune-source localization</w:t>
            </w:r>
          </w:p>
        </w:tc>
      </w:tr>
      <w:tr>
        <w:tc>
          <w:tcPr>
            <w:tcW w:type="dxa" w:w="1800"/>
            <w:vAlign w:val="center"/>
          </w:tcPr>
          <w:p>
            <w:pPr>
              <w:spacing w:line="240" w:lineRule="auto" w:after="0"/>
            </w:pPr>
            <w:r>
              <w:rPr>
                <w:rFonts w:ascii="Arial" w:hAnsi="Arial"/>
                <w:b w:val="0"/>
                <w:sz w:val="15"/>
              </w:rPr>
              <w:t>PRJNA1293757</w:t>
            </w:r>
          </w:p>
        </w:tc>
        <w:tc>
          <w:tcPr>
            <w:tcW w:type="dxa" w:w="2448"/>
            <w:vAlign w:val="center"/>
          </w:tcPr>
          <w:p>
            <w:pPr>
              <w:spacing w:line="240" w:lineRule="auto" w:after="0"/>
            </w:pPr>
            <w:r>
              <w:rPr>
                <w:rFonts w:ascii="Arial" w:hAnsi="Arial"/>
                <w:b w:val="0"/>
                <w:sz w:val="15"/>
              </w:rPr>
              <w:t>PBMC single-cell RNA-seq</w:t>
            </w:r>
          </w:p>
        </w:tc>
        <w:tc>
          <w:tcPr>
            <w:tcW w:type="dxa" w:w="3312"/>
            <w:vAlign w:val="center"/>
          </w:tcPr>
          <w:p>
            <w:pPr>
              <w:spacing w:line="240" w:lineRule="auto" w:after="0"/>
            </w:pPr>
            <w:r>
              <w:rPr>
                <w:rFonts w:ascii="Arial" w:hAnsi="Arial"/>
                <w:b w:val="0"/>
                <w:sz w:val="15"/>
              </w:rPr>
              <w:t>3 untreated AIDP, 2 controls</w:t>
            </w:r>
          </w:p>
        </w:tc>
        <w:tc>
          <w:tcPr>
            <w:tcW w:type="dxa" w:w="3312"/>
            <w:vAlign w:val="center"/>
          </w:tcPr>
          <w:p>
            <w:pPr>
              <w:spacing w:line="240" w:lineRule="auto" w:after="0"/>
            </w:pPr>
            <w:r>
              <w:rPr>
                <w:rFonts w:ascii="Arial" w:hAnsi="Arial"/>
                <w:b w:val="0"/>
                <w:sz w:val="15"/>
              </w:rPr>
              <w:t>Sample-level monocyte localization</w:t>
            </w:r>
          </w:p>
        </w:tc>
      </w:tr>
      <w:tr>
        <w:tc>
          <w:tcPr>
            <w:tcW w:type="dxa" w:w="1800"/>
            <w:vAlign w:val="center"/>
          </w:tcPr>
          <w:p>
            <w:pPr>
              <w:spacing w:line="240" w:lineRule="auto" w:after="0"/>
            </w:pPr>
            <w:r>
              <w:rPr>
                <w:rFonts w:ascii="Arial" w:hAnsi="Arial"/>
                <w:b w:val="0"/>
                <w:sz w:val="15"/>
              </w:rPr>
              <w:t>GBS-Proteomics</w:t>
            </w:r>
          </w:p>
        </w:tc>
        <w:tc>
          <w:tcPr>
            <w:tcW w:type="dxa" w:w="2448"/>
            <w:vAlign w:val="center"/>
          </w:tcPr>
          <w:p>
            <w:pPr>
              <w:spacing w:line="240" w:lineRule="auto" w:after="0"/>
            </w:pPr>
            <w:r>
              <w:rPr>
                <w:rFonts w:ascii="Arial" w:hAnsi="Arial"/>
                <w:b w:val="0"/>
                <w:sz w:val="15"/>
              </w:rPr>
              <w:t>Serum SomaScan</w:t>
            </w:r>
          </w:p>
        </w:tc>
        <w:tc>
          <w:tcPr>
            <w:tcW w:type="dxa" w:w="3312"/>
            <w:vAlign w:val="center"/>
          </w:tcPr>
          <w:p>
            <w:pPr>
              <w:spacing w:line="240" w:lineRule="auto" w:after="0"/>
            </w:pPr>
            <w:r>
              <w:rPr>
                <w:rFonts w:ascii="Arial" w:hAnsi="Arial"/>
                <w:b w:val="0"/>
                <w:sz w:val="15"/>
              </w:rPr>
              <w:t>20 acute/recovery pairs, 15 controls</w:t>
            </w:r>
          </w:p>
        </w:tc>
        <w:tc>
          <w:tcPr>
            <w:tcW w:type="dxa" w:w="3312"/>
            <w:vAlign w:val="center"/>
          </w:tcPr>
          <w:p>
            <w:pPr>
              <w:spacing w:line="240" w:lineRule="auto" w:after="0"/>
            </w:pPr>
            <w:r>
              <w:rPr>
                <w:rFonts w:ascii="Arial" w:hAnsi="Arial"/>
                <w:b w:val="0"/>
                <w:sz w:val="15"/>
              </w:rPr>
              <w:t>Within-patient one-year trajectories</w:t>
            </w:r>
          </w:p>
        </w:tc>
      </w:tr>
      <w:tr>
        <w:tc>
          <w:tcPr>
            <w:tcW w:type="dxa" w:w="1800"/>
            <w:vAlign w:val="center"/>
          </w:tcPr>
          <w:p>
            <w:pPr>
              <w:spacing w:line="240" w:lineRule="auto" w:after="0"/>
            </w:pPr>
            <w:r>
              <w:rPr>
                <w:rFonts w:ascii="Arial" w:hAnsi="Arial"/>
                <w:b w:val="0"/>
                <w:sz w:val="15"/>
              </w:rPr>
              <w:t>GSE285983</w:t>
            </w:r>
          </w:p>
        </w:tc>
        <w:tc>
          <w:tcPr>
            <w:tcW w:type="dxa" w:w="2448"/>
            <w:vAlign w:val="center"/>
          </w:tcPr>
          <w:p>
            <w:pPr>
              <w:spacing w:line="240" w:lineRule="auto" w:after="0"/>
            </w:pPr>
            <w:r>
              <w:rPr>
                <w:rFonts w:ascii="Arial" w:hAnsi="Arial"/>
                <w:b w:val="0"/>
                <w:sz w:val="15"/>
              </w:rPr>
              <w:t>Sural-nerve single-nucleus RNA-seq</w:t>
            </w:r>
          </w:p>
        </w:tc>
        <w:tc>
          <w:tcPr>
            <w:tcW w:type="dxa" w:w="3312"/>
            <w:vAlign w:val="center"/>
          </w:tcPr>
          <w:p>
            <w:pPr>
              <w:spacing w:line="240" w:lineRule="auto" w:after="0"/>
            </w:pPr>
            <w:r>
              <w:rPr>
                <w:rFonts w:ascii="Arial" w:hAnsi="Arial"/>
                <w:b w:val="0"/>
                <w:sz w:val="15"/>
              </w:rPr>
              <w:t>9 CIDP, 11 CIAP, 37 total donors</w:t>
            </w:r>
          </w:p>
        </w:tc>
        <w:tc>
          <w:tcPr>
            <w:tcW w:type="dxa" w:w="3312"/>
            <w:vAlign w:val="center"/>
          </w:tcPr>
          <w:p>
            <w:pPr>
              <w:spacing w:line="240" w:lineRule="auto" w:after="0"/>
            </w:pPr>
            <w:r>
              <w:rPr>
                <w:rFonts w:ascii="Arial" w:hAnsi="Arial"/>
                <w:b w:val="0"/>
                <w:sz w:val="15"/>
              </w:rPr>
              <w:t>Donor-by-cell-state target-organ analysis</w:t>
            </w:r>
          </w:p>
        </w:tc>
      </w:tr>
      <w:tr>
        <w:tc>
          <w:tcPr>
            <w:tcW w:type="dxa" w:w="1800"/>
            <w:vAlign w:val="center"/>
          </w:tcPr>
          <w:p>
            <w:pPr>
              <w:spacing w:line="240" w:lineRule="auto" w:after="0"/>
            </w:pPr>
            <w:r>
              <w:rPr>
                <w:rFonts w:ascii="Arial" w:hAnsi="Arial"/>
                <w:b w:val="0"/>
                <w:sz w:val="15"/>
              </w:rPr>
              <w:t>GSE107574</w:t>
            </w:r>
          </w:p>
        </w:tc>
        <w:tc>
          <w:tcPr>
            <w:tcW w:type="dxa" w:w="2448"/>
            <w:vAlign w:val="center"/>
          </w:tcPr>
          <w:p>
            <w:pPr>
              <w:spacing w:line="240" w:lineRule="auto" w:after="0"/>
            </w:pPr>
            <w:r>
              <w:rPr>
                <w:rFonts w:ascii="Arial" w:hAnsi="Arial"/>
                <w:b w:val="0"/>
                <w:sz w:val="15"/>
              </w:rPr>
              <w:t>Human endoneurial endothelial RNA</w:t>
            </w:r>
          </w:p>
        </w:tc>
        <w:tc>
          <w:tcPr>
            <w:tcW w:type="dxa" w:w="3312"/>
            <w:vAlign w:val="center"/>
          </w:tcPr>
          <w:p>
            <w:pPr>
              <w:spacing w:line="240" w:lineRule="auto" w:after="0"/>
            </w:pPr>
            <w:r>
              <w:rPr>
                <w:rFonts w:ascii="Arial" w:hAnsi="Arial"/>
                <w:b w:val="0"/>
                <w:sz w:val="15"/>
              </w:rPr>
              <w:t>2 cultured preparations, 4 microvessel preparations</w:t>
            </w:r>
          </w:p>
        </w:tc>
        <w:tc>
          <w:tcPr>
            <w:tcW w:type="dxa" w:w="3312"/>
            <w:vAlign w:val="center"/>
          </w:tcPr>
          <w:p>
            <w:pPr>
              <w:spacing w:line="240" w:lineRule="auto" w:after="0"/>
            </w:pPr>
            <w:r>
              <w:rPr>
                <w:rFonts w:ascii="Arial" w:hAnsi="Arial"/>
                <w:b w:val="0"/>
                <w:sz w:val="15"/>
              </w:rPr>
              <w:t>Descriptive normal BNB identity reference</w:t>
            </w:r>
          </w:p>
        </w:tc>
      </w:tr>
    </w:tbl>
    <w:p>
      <w:pPr>
        <w:spacing w:line="240" w:lineRule="auto"/>
      </w:pPr>
      <w:r>
        <w:rPr>
          <w:i/>
        </w:rPr>
        <w:t>Values are derived from participant- or donor-level analyses. Blank cells indicate unavailable or non-estimable quantities.</w:t>
      </w:r>
    </w:p>
    <w:p>
      <w:r>
        <w:rPr>
          <w:b/>
        </w:rPr>
        <w:t>Table 2. Cross-cohort acute GBS program synthesis</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vAlign w:val="center"/>
          </w:tcPr>
          <w:p>
            <w:pPr>
              <w:spacing w:line="240" w:lineRule="auto" w:after="0"/>
            </w:pPr>
            <w:r>
              <w:rPr>
                <w:rFonts w:ascii="Arial" w:hAnsi="Arial"/>
                <w:b/>
                <w:sz w:val="15"/>
              </w:rPr>
              <w:t>program</w:t>
            </w:r>
          </w:p>
        </w:tc>
        <w:tc>
          <w:tcPr>
            <w:tcW w:type="dxa" w:w="1224"/>
            <w:vAlign w:val="center"/>
          </w:tcPr>
          <w:p>
            <w:pPr>
              <w:spacing w:line="240" w:lineRule="auto" w:after="0"/>
            </w:pPr>
            <w:r>
              <w:rPr>
                <w:rFonts w:ascii="Arial" w:hAnsi="Arial"/>
                <w:b/>
                <w:sz w:val="15"/>
              </w:rPr>
              <w:t>summary hedges g</w:t>
            </w:r>
          </w:p>
        </w:tc>
        <w:tc>
          <w:tcPr>
            <w:tcW w:type="dxa" w:w="1080"/>
            <w:vAlign w:val="center"/>
          </w:tcPr>
          <w:p>
            <w:pPr>
              <w:spacing w:line="240" w:lineRule="auto" w:after="0"/>
            </w:pPr>
            <w:r>
              <w:rPr>
                <w:rFonts w:ascii="Arial" w:hAnsi="Arial"/>
                <w:b/>
                <w:sz w:val="15"/>
              </w:rPr>
              <w:t>ci low</w:t>
            </w:r>
          </w:p>
        </w:tc>
        <w:tc>
          <w:tcPr>
            <w:tcW w:type="dxa" w:w="1080"/>
            <w:vAlign w:val="center"/>
          </w:tcPr>
          <w:p>
            <w:pPr>
              <w:spacing w:line="240" w:lineRule="auto" w:after="0"/>
            </w:pPr>
            <w:r>
              <w:rPr>
                <w:rFonts w:ascii="Arial" w:hAnsi="Arial"/>
                <w:b/>
                <w:sz w:val="15"/>
              </w:rPr>
              <w:t>ci high</w:t>
            </w:r>
          </w:p>
        </w:tc>
        <w:tc>
          <w:tcPr>
            <w:tcW w:type="dxa" w:w="1296"/>
            <w:vAlign w:val="center"/>
          </w:tcPr>
          <w:p>
            <w:pPr>
              <w:spacing w:line="240" w:lineRule="auto" w:after="0"/>
            </w:pPr>
            <w:r>
              <w:rPr>
                <w:rFonts w:ascii="Arial" w:hAnsi="Arial"/>
                <w:b/>
                <w:sz w:val="15"/>
              </w:rPr>
              <w:t>hartung knapp p</w:t>
            </w:r>
          </w:p>
        </w:tc>
        <w:tc>
          <w:tcPr>
            <w:tcW w:type="dxa" w:w="1080"/>
            <w:vAlign w:val="center"/>
          </w:tcPr>
          <w:p>
            <w:pPr>
              <w:spacing w:line="240" w:lineRule="auto" w:after="0"/>
            </w:pPr>
            <w:r>
              <w:rPr>
                <w:rFonts w:ascii="Arial" w:hAnsi="Arial"/>
                <w:b/>
                <w:sz w:val="15"/>
              </w:rPr>
              <w:t>I2 percent</w:t>
            </w:r>
          </w:p>
        </w:tc>
        <w:tc>
          <w:tcPr>
            <w:tcW w:type="dxa" w:w="936"/>
            <w:vAlign w:val="center"/>
          </w:tcPr>
          <w:p>
            <w:pPr>
              <w:spacing w:line="240" w:lineRule="auto" w:after="0"/>
            </w:pPr>
            <w:r>
              <w:rPr>
                <w:rFonts w:ascii="Arial" w:hAnsi="Arial"/>
                <w:b/>
                <w:sz w:val="15"/>
              </w:rPr>
              <w:t>n cohorts</w:t>
            </w:r>
          </w:p>
        </w:tc>
      </w:tr>
      <w:tr>
        <w:tc>
          <w:tcPr>
            <w:tcW w:type="dxa" w:w="2160"/>
            <w:vAlign w:val="center"/>
          </w:tcPr>
          <w:p>
            <w:pPr>
              <w:spacing w:line="240" w:lineRule="auto" w:after="0"/>
            </w:pPr>
            <w:r>
              <w:rPr>
                <w:rFonts w:ascii="Arial" w:hAnsi="Arial"/>
                <w:b w:val="0"/>
                <w:sz w:val="15"/>
              </w:rPr>
              <w:t>CXCL8–CXCR1/2</w:t>
            </w:r>
          </w:p>
        </w:tc>
        <w:tc>
          <w:tcPr>
            <w:tcW w:type="dxa" w:w="1224"/>
            <w:vAlign w:val="center"/>
          </w:tcPr>
          <w:p>
            <w:pPr>
              <w:spacing w:line="240" w:lineRule="auto" w:after="0"/>
            </w:pPr>
            <w:r>
              <w:rPr>
                <w:rFonts w:ascii="Arial" w:hAnsi="Arial"/>
                <w:b w:val="0"/>
                <w:sz w:val="15"/>
              </w:rPr>
              <w:t>1.182</w:t>
            </w:r>
          </w:p>
        </w:tc>
        <w:tc>
          <w:tcPr>
            <w:tcW w:type="dxa" w:w="1080"/>
            <w:vAlign w:val="center"/>
          </w:tcPr>
          <w:p>
            <w:pPr>
              <w:spacing w:line="240" w:lineRule="auto" w:after="0"/>
            </w:pPr>
            <w:r>
              <w:rPr>
                <w:rFonts w:ascii="Arial" w:hAnsi="Arial"/>
                <w:b w:val="0"/>
                <w:sz w:val="15"/>
              </w:rPr>
              <w:t>-0.030</w:t>
            </w:r>
          </w:p>
        </w:tc>
        <w:tc>
          <w:tcPr>
            <w:tcW w:type="dxa" w:w="1080"/>
            <w:vAlign w:val="center"/>
          </w:tcPr>
          <w:p>
            <w:pPr>
              <w:spacing w:line="240" w:lineRule="auto" w:after="0"/>
            </w:pPr>
            <w:r>
              <w:rPr>
                <w:rFonts w:ascii="Arial" w:hAnsi="Arial"/>
                <w:b w:val="0"/>
                <w:sz w:val="15"/>
              </w:rPr>
              <w:t>2.394</w:t>
            </w:r>
          </w:p>
        </w:tc>
        <w:tc>
          <w:tcPr>
            <w:tcW w:type="dxa" w:w="1296"/>
            <w:vAlign w:val="center"/>
          </w:tcPr>
          <w:p>
            <w:pPr>
              <w:spacing w:line="240" w:lineRule="auto" w:after="0"/>
            </w:pPr>
            <w:r>
              <w:rPr>
                <w:rFonts w:ascii="Arial" w:hAnsi="Arial"/>
                <w:b w:val="0"/>
                <w:sz w:val="15"/>
              </w:rPr>
              <w:t>0.053</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Inflammatory monocyte</w:t>
            </w:r>
          </w:p>
        </w:tc>
        <w:tc>
          <w:tcPr>
            <w:tcW w:type="dxa" w:w="1224"/>
            <w:vAlign w:val="center"/>
          </w:tcPr>
          <w:p>
            <w:pPr>
              <w:spacing w:line="240" w:lineRule="auto" w:after="0"/>
            </w:pPr>
            <w:r>
              <w:rPr>
                <w:rFonts w:ascii="Arial" w:hAnsi="Arial"/>
                <w:b w:val="0"/>
                <w:sz w:val="15"/>
              </w:rPr>
              <w:t>1.009</w:t>
            </w:r>
          </w:p>
        </w:tc>
        <w:tc>
          <w:tcPr>
            <w:tcW w:type="dxa" w:w="1080"/>
            <w:vAlign w:val="center"/>
          </w:tcPr>
          <w:p>
            <w:pPr>
              <w:spacing w:line="240" w:lineRule="auto" w:after="0"/>
            </w:pPr>
            <w:r>
              <w:rPr>
                <w:rFonts w:ascii="Arial" w:hAnsi="Arial"/>
                <w:b w:val="0"/>
                <w:sz w:val="15"/>
              </w:rPr>
              <w:t>-0.420</w:t>
            </w:r>
          </w:p>
        </w:tc>
        <w:tc>
          <w:tcPr>
            <w:tcW w:type="dxa" w:w="1080"/>
            <w:vAlign w:val="center"/>
          </w:tcPr>
          <w:p>
            <w:pPr>
              <w:spacing w:line="240" w:lineRule="auto" w:after="0"/>
            </w:pPr>
            <w:r>
              <w:rPr>
                <w:rFonts w:ascii="Arial" w:hAnsi="Arial"/>
                <w:b w:val="0"/>
                <w:sz w:val="15"/>
              </w:rPr>
              <w:t>2.438</w:t>
            </w:r>
          </w:p>
        </w:tc>
        <w:tc>
          <w:tcPr>
            <w:tcW w:type="dxa" w:w="1296"/>
            <w:vAlign w:val="center"/>
          </w:tcPr>
          <w:p>
            <w:pPr>
              <w:spacing w:line="240" w:lineRule="auto" w:after="0"/>
            </w:pPr>
            <w:r>
              <w:rPr>
                <w:rFonts w:ascii="Arial" w:hAnsi="Arial"/>
                <w:b w:val="0"/>
                <w:sz w:val="15"/>
              </w:rPr>
              <w:t>0.110</w:t>
            </w:r>
          </w:p>
        </w:tc>
        <w:tc>
          <w:tcPr>
            <w:tcW w:type="dxa" w:w="1080"/>
            <w:vAlign w:val="center"/>
          </w:tcPr>
          <w:p>
            <w:pPr>
              <w:spacing w:line="240" w:lineRule="auto" w:after="0"/>
            </w:pPr>
            <w:r>
              <w:rPr>
                <w:rFonts w:ascii="Arial" w:hAnsi="Arial"/>
                <w:b w:val="0"/>
                <w:sz w:val="15"/>
              </w:rPr>
              <w:t>26.4</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Complement</w:t>
            </w:r>
          </w:p>
        </w:tc>
        <w:tc>
          <w:tcPr>
            <w:tcW w:type="dxa" w:w="1224"/>
            <w:vAlign w:val="center"/>
          </w:tcPr>
          <w:p>
            <w:pPr>
              <w:spacing w:line="240" w:lineRule="auto" w:after="0"/>
            </w:pPr>
            <w:r>
              <w:rPr>
                <w:rFonts w:ascii="Arial" w:hAnsi="Arial"/>
                <w:b w:val="0"/>
                <w:sz w:val="15"/>
              </w:rPr>
              <w:t>0.764</w:t>
            </w:r>
          </w:p>
        </w:tc>
        <w:tc>
          <w:tcPr>
            <w:tcW w:type="dxa" w:w="1080"/>
            <w:vAlign w:val="center"/>
          </w:tcPr>
          <w:p>
            <w:pPr>
              <w:spacing w:line="240" w:lineRule="auto" w:after="0"/>
            </w:pPr>
            <w:r>
              <w:rPr>
                <w:rFonts w:ascii="Arial" w:hAnsi="Arial"/>
                <w:b w:val="0"/>
                <w:sz w:val="15"/>
              </w:rPr>
              <w:t>-1.131</w:t>
            </w:r>
          </w:p>
        </w:tc>
        <w:tc>
          <w:tcPr>
            <w:tcW w:type="dxa" w:w="1080"/>
            <w:vAlign w:val="center"/>
          </w:tcPr>
          <w:p>
            <w:pPr>
              <w:spacing w:line="240" w:lineRule="auto" w:after="0"/>
            </w:pPr>
            <w:r>
              <w:rPr>
                <w:rFonts w:ascii="Arial" w:hAnsi="Arial"/>
                <w:b w:val="0"/>
                <w:sz w:val="15"/>
              </w:rPr>
              <w:t>2.659</w:t>
            </w:r>
          </w:p>
        </w:tc>
        <w:tc>
          <w:tcPr>
            <w:tcW w:type="dxa" w:w="1296"/>
            <w:vAlign w:val="center"/>
          </w:tcPr>
          <w:p>
            <w:pPr>
              <w:spacing w:line="240" w:lineRule="auto" w:after="0"/>
            </w:pPr>
            <w:r>
              <w:rPr>
                <w:rFonts w:ascii="Arial" w:hAnsi="Arial"/>
                <w:b w:val="0"/>
                <w:sz w:val="15"/>
              </w:rPr>
              <w:t>0.290</w:t>
            </w:r>
          </w:p>
        </w:tc>
        <w:tc>
          <w:tcPr>
            <w:tcW w:type="dxa" w:w="1080"/>
            <w:vAlign w:val="center"/>
          </w:tcPr>
          <w:p>
            <w:pPr>
              <w:spacing w:line="240" w:lineRule="auto" w:after="0"/>
            </w:pPr>
            <w:r>
              <w:rPr>
                <w:rFonts w:ascii="Arial" w:hAnsi="Arial"/>
                <w:b w:val="0"/>
                <w:sz w:val="15"/>
              </w:rPr>
              <w:t>56.5</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Transendothelial migration</w:t>
            </w:r>
          </w:p>
        </w:tc>
        <w:tc>
          <w:tcPr>
            <w:tcW w:type="dxa" w:w="1224"/>
            <w:vAlign w:val="center"/>
          </w:tcPr>
          <w:p>
            <w:pPr>
              <w:spacing w:line="240" w:lineRule="auto" w:after="0"/>
            </w:pPr>
            <w:r>
              <w:rPr>
                <w:rFonts w:ascii="Arial" w:hAnsi="Arial"/>
                <w:b w:val="0"/>
                <w:sz w:val="15"/>
              </w:rPr>
              <w:t>0.652</w:t>
            </w:r>
          </w:p>
        </w:tc>
        <w:tc>
          <w:tcPr>
            <w:tcW w:type="dxa" w:w="1080"/>
            <w:vAlign w:val="center"/>
          </w:tcPr>
          <w:p>
            <w:pPr>
              <w:spacing w:line="240" w:lineRule="auto" w:after="0"/>
            </w:pPr>
            <w:r>
              <w:rPr>
                <w:rFonts w:ascii="Arial" w:hAnsi="Arial"/>
                <w:b w:val="0"/>
                <w:sz w:val="15"/>
              </w:rPr>
              <w:t>-0.469</w:t>
            </w:r>
          </w:p>
        </w:tc>
        <w:tc>
          <w:tcPr>
            <w:tcW w:type="dxa" w:w="1080"/>
            <w:vAlign w:val="center"/>
          </w:tcPr>
          <w:p>
            <w:pPr>
              <w:spacing w:line="240" w:lineRule="auto" w:after="0"/>
            </w:pPr>
            <w:r>
              <w:rPr>
                <w:rFonts w:ascii="Arial" w:hAnsi="Arial"/>
                <w:b w:val="0"/>
                <w:sz w:val="15"/>
              </w:rPr>
              <w:t>1.774</w:t>
            </w:r>
          </w:p>
        </w:tc>
        <w:tc>
          <w:tcPr>
            <w:tcW w:type="dxa" w:w="1296"/>
            <w:vAlign w:val="center"/>
          </w:tcPr>
          <w:p>
            <w:pPr>
              <w:spacing w:line="240" w:lineRule="auto" w:after="0"/>
            </w:pPr>
            <w:r>
              <w:rPr>
                <w:rFonts w:ascii="Arial" w:hAnsi="Arial"/>
                <w:b w:val="0"/>
                <w:sz w:val="15"/>
              </w:rPr>
              <w:t>0.161</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Interferon/JAK–STAT</w:t>
            </w:r>
          </w:p>
        </w:tc>
        <w:tc>
          <w:tcPr>
            <w:tcW w:type="dxa" w:w="1224"/>
            <w:vAlign w:val="center"/>
          </w:tcPr>
          <w:p>
            <w:pPr>
              <w:spacing w:line="240" w:lineRule="auto" w:after="0"/>
            </w:pPr>
            <w:r>
              <w:rPr>
                <w:rFonts w:ascii="Arial" w:hAnsi="Arial"/>
                <w:b w:val="0"/>
                <w:sz w:val="15"/>
              </w:rPr>
              <w:t>0.577</w:t>
            </w:r>
          </w:p>
        </w:tc>
        <w:tc>
          <w:tcPr>
            <w:tcW w:type="dxa" w:w="1080"/>
            <w:vAlign w:val="center"/>
          </w:tcPr>
          <w:p>
            <w:pPr>
              <w:spacing w:line="240" w:lineRule="auto" w:after="0"/>
            </w:pPr>
            <w:r>
              <w:rPr>
                <w:rFonts w:ascii="Arial" w:hAnsi="Arial"/>
                <w:b w:val="0"/>
                <w:sz w:val="15"/>
              </w:rPr>
              <w:t>-0.531</w:t>
            </w:r>
          </w:p>
        </w:tc>
        <w:tc>
          <w:tcPr>
            <w:tcW w:type="dxa" w:w="1080"/>
            <w:vAlign w:val="center"/>
          </w:tcPr>
          <w:p>
            <w:pPr>
              <w:spacing w:line="240" w:lineRule="auto" w:after="0"/>
            </w:pPr>
            <w:r>
              <w:rPr>
                <w:rFonts w:ascii="Arial" w:hAnsi="Arial"/>
                <w:b w:val="0"/>
                <w:sz w:val="15"/>
              </w:rPr>
              <w:t>1.685</w:t>
            </w:r>
          </w:p>
        </w:tc>
        <w:tc>
          <w:tcPr>
            <w:tcW w:type="dxa" w:w="1296"/>
            <w:vAlign w:val="center"/>
          </w:tcPr>
          <w:p>
            <w:pPr>
              <w:spacing w:line="240" w:lineRule="auto" w:after="0"/>
            </w:pPr>
            <w:r>
              <w:rPr>
                <w:rFonts w:ascii="Arial" w:hAnsi="Arial"/>
                <w:b w:val="0"/>
                <w:sz w:val="15"/>
              </w:rPr>
              <w:t>0.196</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LIF/OSM–gp130</w:t>
            </w:r>
          </w:p>
        </w:tc>
        <w:tc>
          <w:tcPr>
            <w:tcW w:type="dxa" w:w="1224"/>
            <w:vAlign w:val="center"/>
          </w:tcPr>
          <w:p>
            <w:pPr>
              <w:spacing w:line="240" w:lineRule="auto" w:after="0"/>
            </w:pPr>
            <w:r>
              <w:rPr>
                <w:rFonts w:ascii="Arial" w:hAnsi="Arial"/>
                <w:b w:val="0"/>
                <w:sz w:val="15"/>
              </w:rPr>
              <w:t>0.326</w:t>
            </w:r>
          </w:p>
        </w:tc>
        <w:tc>
          <w:tcPr>
            <w:tcW w:type="dxa" w:w="1080"/>
            <w:vAlign w:val="center"/>
          </w:tcPr>
          <w:p>
            <w:pPr>
              <w:spacing w:line="240" w:lineRule="auto" w:after="0"/>
            </w:pPr>
            <w:r>
              <w:rPr>
                <w:rFonts w:ascii="Arial" w:hAnsi="Arial"/>
                <w:b w:val="0"/>
                <w:sz w:val="15"/>
              </w:rPr>
              <w:t>-2.033</w:t>
            </w:r>
          </w:p>
        </w:tc>
        <w:tc>
          <w:tcPr>
            <w:tcW w:type="dxa" w:w="1080"/>
            <w:vAlign w:val="center"/>
          </w:tcPr>
          <w:p>
            <w:pPr>
              <w:spacing w:line="240" w:lineRule="auto" w:after="0"/>
            </w:pPr>
            <w:r>
              <w:rPr>
                <w:rFonts w:ascii="Arial" w:hAnsi="Arial"/>
                <w:b w:val="0"/>
                <w:sz w:val="15"/>
              </w:rPr>
              <w:t>2.685</w:t>
            </w:r>
          </w:p>
        </w:tc>
        <w:tc>
          <w:tcPr>
            <w:tcW w:type="dxa" w:w="1296"/>
            <w:vAlign w:val="center"/>
          </w:tcPr>
          <w:p>
            <w:pPr>
              <w:spacing w:line="240" w:lineRule="auto" w:after="0"/>
            </w:pPr>
            <w:r>
              <w:rPr>
                <w:rFonts w:ascii="Arial" w:hAnsi="Arial"/>
                <w:b w:val="0"/>
                <w:sz w:val="15"/>
              </w:rPr>
              <w:t>0.690</w:t>
            </w:r>
          </w:p>
        </w:tc>
        <w:tc>
          <w:tcPr>
            <w:tcW w:type="dxa" w:w="1080"/>
            <w:vAlign w:val="center"/>
          </w:tcPr>
          <w:p>
            <w:pPr>
              <w:spacing w:line="240" w:lineRule="auto" w:after="0"/>
            </w:pPr>
            <w:r>
              <w:rPr>
                <w:rFonts w:ascii="Arial" w:hAnsi="Arial"/>
                <w:b w:val="0"/>
                <w:sz w:val="15"/>
              </w:rPr>
              <w:t>72.3</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Fc receptor</w:t>
            </w:r>
          </w:p>
        </w:tc>
        <w:tc>
          <w:tcPr>
            <w:tcW w:type="dxa" w:w="1224"/>
            <w:vAlign w:val="center"/>
          </w:tcPr>
          <w:p>
            <w:pPr>
              <w:spacing w:line="240" w:lineRule="auto" w:after="0"/>
            </w:pPr>
            <w:r>
              <w:rPr>
                <w:rFonts w:ascii="Arial" w:hAnsi="Arial"/>
                <w:b w:val="0"/>
                <w:sz w:val="15"/>
              </w:rPr>
              <w:t>0.202</w:t>
            </w:r>
          </w:p>
        </w:tc>
        <w:tc>
          <w:tcPr>
            <w:tcW w:type="dxa" w:w="1080"/>
            <w:vAlign w:val="center"/>
          </w:tcPr>
          <w:p>
            <w:pPr>
              <w:spacing w:line="240" w:lineRule="auto" w:after="0"/>
            </w:pPr>
            <w:r>
              <w:rPr>
                <w:rFonts w:ascii="Arial" w:hAnsi="Arial"/>
                <w:b w:val="0"/>
                <w:sz w:val="15"/>
              </w:rPr>
              <w:t>-2.110</w:t>
            </w:r>
          </w:p>
        </w:tc>
        <w:tc>
          <w:tcPr>
            <w:tcW w:type="dxa" w:w="1080"/>
            <w:vAlign w:val="center"/>
          </w:tcPr>
          <w:p>
            <w:pPr>
              <w:spacing w:line="240" w:lineRule="auto" w:after="0"/>
            </w:pPr>
            <w:r>
              <w:rPr>
                <w:rFonts w:ascii="Arial" w:hAnsi="Arial"/>
                <w:b w:val="0"/>
                <w:sz w:val="15"/>
              </w:rPr>
              <w:t>2.514</w:t>
            </w:r>
          </w:p>
        </w:tc>
        <w:tc>
          <w:tcPr>
            <w:tcW w:type="dxa" w:w="1296"/>
            <w:vAlign w:val="center"/>
          </w:tcPr>
          <w:p>
            <w:pPr>
              <w:spacing w:line="240" w:lineRule="auto" w:after="0"/>
            </w:pPr>
            <w:r>
              <w:rPr>
                <w:rFonts w:ascii="Arial" w:hAnsi="Arial"/>
                <w:b w:val="0"/>
                <w:sz w:val="15"/>
              </w:rPr>
              <w:t>0.799</w:t>
            </w:r>
          </w:p>
        </w:tc>
        <w:tc>
          <w:tcPr>
            <w:tcW w:type="dxa" w:w="1080"/>
            <w:vAlign w:val="center"/>
          </w:tcPr>
          <w:p>
            <w:pPr>
              <w:spacing w:line="240" w:lineRule="auto" w:after="0"/>
            </w:pPr>
            <w:r>
              <w:rPr>
                <w:rFonts w:ascii="Arial" w:hAnsi="Arial"/>
                <w:b w:val="0"/>
                <w:sz w:val="15"/>
              </w:rPr>
              <w:t>65.8</w:t>
            </w:r>
          </w:p>
        </w:tc>
        <w:tc>
          <w:tcPr>
            <w:tcW w:type="dxa" w:w="936"/>
            <w:vAlign w:val="center"/>
          </w:tcPr>
          <w:p>
            <w:pPr>
              <w:spacing w:line="240" w:lineRule="auto" w:after="0"/>
            </w:pPr>
            <w:r>
              <w:rPr>
                <w:rFonts w:ascii="Arial" w:hAnsi="Arial"/>
                <w:b w:val="0"/>
                <w:sz w:val="15"/>
              </w:rPr>
              <w:t>4</w:t>
            </w:r>
          </w:p>
        </w:tc>
      </w:tr>
    </w:tbl>
    <w:p>
      <w:pPr>
        <w:spacing w:line="240" w:lineRule="auto"/>
      </w:pPr>
      <w:r>
        <w:rPr>
          <w:i/>
        </w:rPr>
        <w:t>Values are derived from participant- or donor-level analyses. Blank cells indicate unavailable or non-estimable quantities.</w:t>
      </w:r>
    </w:p>
    <w:p>
      <w:r>
        <w:rPr>
          <w:b/>
        </w:rPr>
        <w:t>Table 3. Cross-compartment signaling axes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vAlign w:val="center"/>
          </w:tcPr>
          <w:p>
            <w:pPr>
              <w:spacing w:line="240" w:lineRule="auto" w:after="0"/>
            </w:pPr>
            <w:r>
              <w:rPr>
                <w:rFonts w:ascii="Arial" w:hAnsi="Arial"/>
                <w:b/>
                <w:sz w:val="15"/>
              </w:rPr>
              <w:t>axis</w:t>
            </w:r>
          </w:p>
        </w:tc>
        <w:tc>
          <w:tcPr>
            <w:tcW w:type="dxa" w:w="1872"/>
            <w:vAlign w:val="center"/>
          </w:tcPr>
          <w:p>
            <w:pPr>
              <w:spacing w:line="240" w:lineRule="auto" w:after="0"/>
            </w:pPr>
            <w:r>
              <w:rPr>
                <w:rFonts w:ascii="Arial" w:hAnsi="Arial"/>
                <w:b/>
                <w:sz w:val="15"/>
              </w:rPr>
              <w:t>acute GBS CD11b ligand</w:t>
            </w:r>
          </w:p>
        </w:tc>
        <w:tc>
          <w:tcPr>
            <w:tcW w:type="dxa" w:w="1584"/>
            <w:vAlign w:val="center"/>
          </w:tcPr>
          <w:p>
            <w:pPr>
              <w:spacing w:line="240" w:lineRule="auto" w:after="0"/>
            </w:pPr>
            <w:r>
              <w:rPr>
                <w:rFonts w:ascii="Arial" w:hAnsi="Arial"/>
                <w:b/>
                <w:sz w:val="15"/>
              </w:rPr>
              <w:t>acute GBS delta log2 nTPM</w:t>
            </w:r>
          </w:p>
        </w:tc>
        <w:tc>
          <w:tcPr>
            <w:tcW w:type="dxa" w:w="1584"/>
            <w:vAlign w:val="center"/>
          </w:tcPr>
          <w:p>
            <w:pPr>
              <w:spacing w:line="240" w:lineRule="auto" w:after="0"/>
            </w:pPr>
            <w:r>
              <w:rPr>
                <w:rFonts w:ascii="Arial" w:hAnsi="Arial"/>
                <w:b/>
                <w:sz w:val="15"/>
              </w:rPr>
              <w:t>acute GBS hedges g</w:t>
            </w:r>
          </w:p>
        </w:tc>
        <w:tc>
          <w:tcPr>
            <w:tcW w:type="dxa" w:w="3312"/>
            <w:vAlign w:val="center"/>
          </w:tcPr>
          <w:p>
            <w:pPr>
              <w:spacing w:line="240" w:lineRule="auto" w:after="0"/>
            </w:pPr>
            <w:r>
              <w:rPr>
                <w:rFonts w:ascii="Arial" w:hAnsi="Arial"/>
                <w:b/>
                <w:sz w:val="15"/>
              </w:rPr>
              <w:t>CIDP nerve sender</w:t>
            </w:r>
          </w:p>
        </w:tc>
      </w:tr>
      <w:tr>
        <w:tc>
          <w:tcPr>
            <w:tcW w:type="dxa" w:w="2016"/>
            <w:vAlign w:val="center"/>
          </w:tcPr>
          <w:p>
            <w:pPr>
              <w:spacing w:line="240" w:lineRule="auto" w:after="0"/>
            </w:pPr>
            <w:r>
              <w:rPr>
                <w:rFonts w:ascii="Arial" w:hAnsi="Arial"/>
                <w:b w:val="0"/>
                <w:sz w:val="15"/>
              </w:rPr>
              <w:t>CXCL8-CXCR1/2</w:t>
            </w:r>
          </w:p>
        </w:tc>
        <w:tc>
          <w:tcPr>
            <w:tcW w:type="dxa" w:w="1872"/>
            <w:vAlign w:val="center"/>
          </w:tcPr>
          <w:p>
            <w:pPr>
              <w:spacing w:line="240" w:lineRule="auto" w:after="0"/>
            </w:pPr>
            <w:r>
              <w:rPr>
                <w:rFonts w:ascii="Arial" w:hAnsi="Arial"/>
                <w:b w:val="0"/>
                <w:sz w:val="15"/>
              </w:rPr>
              <w:t>CXCL8</w:t>
            </w:r>
          </w:p>
        </w:tc>
        <w:tc>
          <w:tcPr>
            <w:tcW w:type="dxa" w:w="1584"/>
            <w:vAlign w:val="center"/>
          </w:tcPr>
          <w:p>
            <w:pPr>
              <w:spacing w:line="240" w:lineRule="auto" w:after="0"/>
            </w:pPr>
            <w:r>
              <w:rPr>
                <w:rFonts w:ascii="Arial" w:hAnsi="Arial"/>
                <w:b w:val="0"/>
                <w:sz w:val="15"/>
              </w:rPr>
              <w:t>0.540</w:t>
            </w:r>
          </w:p>
        </w:tc>
        <w:tc>
          <w:tcPr>
            <w:tcW w:type="dxa" w:w="1584"/>
            <w:vAlign w:val="center"/>
          </w:tcPr>
          <w:p>
            <w:pPr>
              <w:spacing w:line="240" w:lineRule="auto" w:after="0"/>
            </w:pPr>
            <w:r>
              <w:rPr>
                <w:rFonts w:ascii="Arial" w:hAnsi="Arial"/>
                <w:b w:val="0"/>
                <w:sz w:val="15"/>
              </w:rPr>
              <w:t>1.817</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LIF-LIFR-gp130</w:t>
            </w:r>
          </w:p>
        </w:tc>
        <w:tc>
          <w:tcPr>
            <w:tcW w:type="dxa" w:w="1872"/>
            <w:vAlign w:val="center"/>
          </w:tcPr>
          <w:p>
            <w:pPr>
              <w:spacing w:line="240" w:lineRule="auto" w:after="0"/>
            </w:pPr>
            <w:r>
              <w:rPr>
                <w:rFonts w:ascii="Arial" w:hAnsi="Arial"/>
                <w:b w:val="0"/>
                <w:sz w:val="15"/>
              </w:rPr>
              <w:t>LIF</w:t>
            </w:r>
          </w:p>
        </w:tc>
        <w:tc>
          <w:tcPr>
            <w:tcW w:type="dxa" w:w="1584"/>
            <w:vAlign w:val="center"/>
          </w:tcPr>
          <w:p>
            <w:pPr>
              <w:spacing w:line="240" w:lineRule="auto" w:after="0"/>
            </w:pPr>
            <w:r>
              <w:rPr>
                <w:rFonts w:ascii="Arial" w:hAnsi="Arial"/>
                <w:b w:val="0"/>
                <w:sz w:val="15"/>
              </w:rPr>
              <w:t>0.736</w:t>
            </w:r>
          </w:p>
        </w:tc>
        <w:tc>
          <w:tcPr>
            <w:tcW w:type="dxa" w:w="1584"/>
            <w:vAlign w:val="center"/>
          </w:tcPr>
          <w:p>
            <w:pPr>
              <w:spacing w:line="240" w:lineRule="auto" w:after="0"/>
            </w:pPr>
            <w:r>
              <w:rPr>
                <w:rFonts w:ascii="Arial" w:hAnsi="Arial"/>
                <w:b w:val="0"/>
                <w:sz w:val="15"/>
              </w:rPr>
              <w:t>0.534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OSM-OSMR-gp130</w:t>
            </w:r>
          </w:p>
        </w:tc>
        <w:tc>
          <w:tcPr>
            <w:tcW w:type="dxa" w:w="1872"/>
            <w:vAlign w:val="center"/>
          </w:tcPr>
          <w:p>
            <w:pPr>
              <w:spacing w:line="240" w:lineRule="auto" w:after="0"/>
            </w:pPr>
            <w:r>
              <w:rPr>
                <w:rFonts w:ascii="Arial" w:hAnsi="Arial"/>
                <w:b w:val="0"/>
                <w:sz w:val="15"/>
              </w:rPr>
              <w:t>OSM</w:t>
            </w:r>
          </w:p>
        </w:tc>
        <w:tc>
          <w:tcPr>
            <w:tcW w:type="dxa" w:w="1584"/>
            <w:vAlign w:val="center"/>
          </w:tcPr>
          <w:p>
            <w:pPr>
              <w:spacing w:line="240" w:lineRule="auto" w:after="0"/>
            </w:pPr>
            <w:r>
              <w:rPr>
                <w:rFonts w:ascii="Arial" w:hAnsi="Arial"/>
                <w:b w:val="0"/>
                <w:sz w:val="15"/>
              </w:rPr>
              <w:t>1.942</w:t>
            </w:r>
          </w:p>
        </w:tc>
        <w:tc>
          <w:tcPr>
            <w:tcW w:type="dxa" w:w="1584"/>
            <w:vAlign w:val="center"/>
          </w:tcPr>
          <w:p>
            <w:pPr>
              <w:spacing w:line="240" w:lineRule="auto" w:after="0"/>
            </w:pPr>
            <w:r>
              <w:rPr>
                <w:rFonts w:ascii="Arial" w:hAnsi="Arial"/>
                <w:b w:val="0"/>
                <w:sz w:val="15"/>
              </w:rPr>
              <w:t>1.569</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CCL2-CCR2</w:t>
            </w:r>
          </w:p>
        </w:tc>
        <w:tc>
          <w:tcPr>
            <w:tcW w:type="dxa" w:w="1872"/>
            <w:vAlign w:val="center"/>
          </w:tcPr>
          <w:p>
            <w:pPr>
              <w:spacing w:line="240" w:lineRule="auto" w:after="0"/>
            </w:pPr>
            <w:r>
              <w:rPr>
                <w:rFonts w:ascii="Arial" w:hAnsi="Arial"/>
                <w:b w:val="0"/>
                <w:sz w:val="15"/>
              </w:rPr>
              <w:t>CCL2</w:t>
            </w:r>
          </w:p>
        </w:tc>
        <w:tc>
          <w:tcPr>
            <w:tcW w:type="dxa" w:w="1584"/>
            <w:vAlign w:val="center"/>
          </w:tcPr>
          <w:p>
            <w:pPr>
              <w:spacing w:line="240" w:lineRule="auto" w:after="0"/>
            </w:pPr>
            <w:r>
              <w:rPr>
                <w:rFonts w:ascii="Arial" w:hAnsi="Arial"/>
                <w:b w:val="0"/>
                <w:sz w:val="15"/>
              </w:rPr>
              <w:t>0.557</w:t>
            </w:r>
          </w:p>
        </w:tc>
        <w:tc>
          <w:tcPr>
            <w:tcW w:type="dxa" w:w="1584"/>
            <w:vAlign w:val="center"/>
          </w:tcPr>
          <w:p>
            <w:pPr>
              <w:spacing w:line="240" w:lineRule="auto" w:after="0"/>
            </w:pPr>
            <w:r>
              <w:rPr>
                <w:rFonts w:ascii="Arial" w:hAnsi="Arial"/>
                <w:b w:val="0"/>
                <w:sz w:val="15"/>
              </w:rPr>
              <w:t>1.314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CCL20-CCR6</w:t>
            </w:r>
          </w:p>
        </w:tc>
        <w:tc>
          <w:tcPr>
            <w:tcW w:type="dxa" w:w="1872"/>
            <w:vAlign w:val="center"/>
          </w:tcPr>
          <w:p>
            <w:pPr>
              <w:spacing w:line="240" w:lineRule="auto" w:after="0"/>
            </w:pPr>
            <w:r>
              <w:rPr>
                <w:rFonts w:ascii="Arial" w:hAnsi="Arial"/>
                <w:b w:val="0"/>
                <w:sz w:val="15"/>
              </w:rPr>
              <w:t>CCL20</w:t>
            </w:r>
          </w:p>
        </w:tc>
        <w:tc>
          <w:tcPr>
            <w:tcW w:type="dxa" w:w="1584"/>
            <w:vAlign w:val="center"/>
          </w:tcPr>
          <w:p>
            <w:pPr>
              <w:spacing w:line="240" w:lineRule="auto" w:after="0"/>
            </w:pPr>
            <w:r>
              <w:rPr>
                <w:rFonts w:ascii="Arial" w:hAnsi="Arial"/>
                <w:b w:val="0"/>
                <w:sz w:val="15"/>
              </w:rPr>
              <w:t>0.158</w:t>
            </w:r>
          </w:p>
        </w:tc>
        <w:tc>
          <w:tcPr>
            <w:tcW w:type="dxa" w:w="1584"/>
            <w:vAlign w:val="center"/>
          </w:tcPr>
          <w:p>
            <w:pPr>
              <w:spacing w:line="240" w:lineRule="auto" w:after="0"/>
            </w:pPr>
            <w:r>
              <w:rPr>
                <w:rFonts w:ascii="Arial" w:hAnsi="Arial"/>
                <w:b w:val="0"/>
                <w:sz w:val="15"/>
              </w:rPr>
              <w:t>1.220</w:t>
            </w:r>
          </w:p>
        </w:tc>
        <w:tc>
          <w:tcPr>
            <w:tcW w:type="dxa" w:w="3312"/>
            <w:vAlign w:val="center"/>
          </w:tcPr>
          <w:p>
            <w:pPr>
              <w:spacing w:line="240" w:lineRule="auto" w:after="0"/>
            </w:pPr>
            <w:r>
              <w:rPr>
                <w:rFonts w:ascii="Arial" w:hAnsi="Arial"/>
                <w:b w:val="0"/>
                <w:sz w:val="15"/>
              </w:rPr>
              <w:t>BNB_EC</w:t>
            </w:r>
          </w:p>
        </w:tc>
      </w:tr>
      <w:tr>
        <w:tc>
          <w:tcPr>
            <w:tcW w:type="dxa" w:w="2016"/>
            <w:vAlign w:val="center"/>
          </w:tcPr>
          <w:p>
            <w:pPr>
              <w:spacing w:line="240" w:lineRule="auto" w:after="0"/>
            </w:pPr>
            <w:r>
              <w:rPr>
                <w:rFonts w:ascii="Arial" w:hAnsi="Arial"/>
                <w:b w:val="0"/>
                <w:sz w:val="15"/>
              </w:rPr>
              <w:t>C3-C3AR1</w:t>
            </w:r>
          </w:p>
        </w:tc>
        <w:tc>
          <w:tcPr>
            <w:tcW w:type="dxa" w:w="1872"/>
            <w:vAlign w:val="center"/>
          </w:tcPr>
          <w:p>
            <w:pPr>
              <w:spacing w:line="240" w:lineRule="auto" w:after="0"/>
            </w:pPr>
            <w:r>
              <w:rPr>
                <w:rFonts w:ascii="Arial" w:hAnsi="Arial"/>
                <w:b w:val="0"/>
                <w:sz w:val="15"/>
              </w:rPr>
              <w:t>C3</w:t>
            </w:r>
          </w:p>
        </w:tc>
        <w:tc>
          <w:tcPr>
            <w:tcW w:type="dxa" w:w="1584"/>
            <w:vAlign w:val="center"/>
          </w:tcPr>
          <w:p>
            <w:pPr>
              <w:spacing w:line="240" w:lineRule="auto" w:after="0"/>
            </w:pPr>
            <w:r>
              <w:rPr>
                <w:rFonts w:ascii="Arial" w:hAnsi="Arial"/>
                <w:b w:val="0"/>
                <w:sz w:val="15"/>
              </w:rPr>
              <w:t>0.332</w:t>
            </w:r>
          </w:p>
        </w:tc>
        <w:tc>
          <w:tcPr>
            <w:tcW w:type="dxa" w:w="1584"/>
            <w:vAlign w:val="center"/>
          </w:tcPr>
          <w:p>
            <w:pPr>
              <w:spacing w:line="240" w:lineRule="auto" w:after="0"/>
            </w:pPr>
            <w:r>
              <w:rPr>
                <w:rFonts w:ascii="Arial" w:hAnsi="Arial"/>
                <w:b w:val="0"/>
                <w:sz w:val="15"/>
              </w:rPr>
              <w:t>3.134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C5-C5AR1</w:t>
            </w:r>
          </w:p>
        </w:tc>
        <w:tc>
          <w:tcPr>
            <w:tcW w:type="dxa" w:w="1872"/>
            <w:vAlign w:val="center"/>
          </w:tcPr>
          <w:p>
            <w:pPr>
              <w:spacing w:line="240" w:lineRule="auto" w:after="0"/>
            </w:pPr>
            <w:r>
              <w:rPr>
                <w:rFonts w:ascii="Arial" w:hAnsi="Arial"/>
                <w:b w:val="0"/>
                <w:sz w:val="15"/>
              </w:rPr>
              <w:t>C5</w:t>
            </w:r>
          </w:p>
        </w:tc>
        <w:tc>
          <w:tcPr>
            <w:tcW w:type="dxa" w:w="1584"/>
            <w:vAlign w:val="center"/>
          </w:tcPr>
          <w:p>
            <w:pPr>
              <w:spacing w:line="240" w:lineRule="auto" w:after="0"/>
            </w:pPr>
            <w:r>
              <w:rPr>
                <w:rFonts w:ascii="Arial" w:hAnsi="Arial"/>
                <w:b w:val="0"/>
                <w:sz w:val="15"/>
              </w:rPr>
              <w:t>-0.546</w:t>
            </w:r>
          </w:p>
        </w:tc>
        <w:tc>
          <w:tcPr>
            <w:tcW w:type="dxa" w:w="1584"/>
            <w:vAlign w:val="center"/>
          </w:tcPr>
          <w:p>
            <w:pPr>
              <w:spacing w:line="240" w:lineRule="auto" w:after="0"/>
            </w:pPr>
            <w:r>
              <w:rPr>
                <w:rFonts w:ascii="Arial" w:hAnsi="Arial"/>
                <w:b w:val="0"/>
                <w:sz w:val="15"/>
              </w:rPr>
              <w:t>-0.326</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SELP-SELPLG</w:t>
            </w:r>
          </w:p>
        </w:tc>
        <w:tc>
          <w:tcPr>
            <w:tcW w:type="dxa" w:w="1872"/>
            <w:vAlign w:val="center"/>
          </w:tcPr>
          <w:p>
            <w:pPr>
              <w:spacing w:line="240" w:lineRule="auto" w:after="0"/>
            </w:pPr>
            <w:r>
              <w:rPr>
                <w:rFonts w:ascii="Arial" w:hAnsi="Arial"/>
                <w:b w:val="0"/>
                <w:sz w:val="15"/>
              </w:rPr>
              <w:t>SELP</w:t>
            </w:r>
          </w:p>
        </w:tc>
        <w:tc>
          <w:tcPr>
            <w:tcW w:type="dxa" w:w="1584"/>
            <w:vAlign w:val="center"/>
          </w:tcPr>
          <w:p>
            <w:pPr>
              <w:spacing w:line="240" w:lineRule="auto" w:after="0"/>
            </w:pPr>
            <w:r>
              <w:rPr>
                <w:rFonts w:ascii="Arial" w:hAnsi="Arial"/>
                <w:b w:val="0"/>
                <w:sz w:val="15"/>
              </w:rPr>
            </w:r>
          </w:p>
        </w:tc>
        <w:tc>
          <w:tcPr>
            <w:tcW w:type="dxa" w:w="1584"/>
            <w:vAlign w:val="center"/>
          </w:tcPr>
          <w:p>
            <w:pPr>
              <w:spacing w:line="240" w:lineRule="auto" w:after="0"/>
            </w:pPr>
            <w:r>
              <w:rPr>
                <w:rFonts w:ascii="Arial" w:hAnsi="Arial"/>
                <w:b w:val="0"/>
                <w:sz w:val="15"/>
              </w:rPr>
            </w:r>
          </w:p>
        </w:tc>
        <w:tc>
          <w:tcPr>
            <w:tcW w:type="dxa" w:w="3312"/>
            <w:vAlign w:val="center"/>
          </w:tcPr>
          <w:p>
            <w:pPr>
              <w:spacing w:line="240" w:lineRule="auto" w:after="0"/>
            </w:pPr>
            <w:r>
              <w:rPr>
                <w:rFonts w:ascii="Arial" w:hAnsi="Arial"/>
                <w:b w:val="0"/>
                <w:sz w:val="15"/>
              </w:rPr>
              <w:t>BNB_EC</w:t>
            </w:r>
          </w:p>
        </w:tc>
      </w:tr>
    </w:tbl>
    <w:p>
      <w:pPr>
        <w:spacing w:line="240" w:lineRule="auto"/>
      </w:pPr>
      <w:r>
        <w:rPr>
          <w:i/>
        </w:rPr>
        <w:t>Values are derived from participant- or donor-level analyses. Blank cells indicate unavailable or non-estimable quantities.</w:t>
      </w:r>
    </w:p>
    <w:p>
      <w:pPr>
        <w:pStyle w:val="Heading1"/>
      </w:pPr>
      <w:r>
        <w:t>References</w:t>
      </w:r>
    </w:p>
    <w:p>
      <w:r>
        <w:t>1. Willison HJ, Jacobs BC, van Doorn PA. Guillain–Barré syndrome. Lancet. 2016,388:717–727. doi:10.1016/S0140-6736(16)00339-1.</w:t>
      </w:r>
    </w:p>
    <w:p>
      <w:r>
        <w:t>2. van Doorn PA, Van den Bergh PYK, Hadden RDM, et al. European Academy of Neurology/Peripheral Nerve Society guideline on diagnosis and treatment of Guillain–Barré syndrome. Eur J Neurol. 2023,30:3646–3674. doi:10.1111/ene.16073.</w:t>
      </w:r>
    </w:p>
    <w:p>
      <w:r>
        <w:t>3. Van den Bergh PYK, van Doorn PA, Hadden RDM, et al. European Academy of Neurology/Peripheral Nerve Society guideline on CIDP: second revision. Eur J Neurol. 2021,28:3556–3583. doi:10.1111/ene.14959.</w:t>
      </w:r>
    </w:p>
    <w:p>
      <w:r>
        <w:t>4. Ubogu EE. Biology of the human blood–nerve barrier in health and disease. Exp Neurol. 2020,328:113272. doi:10.1016/j.expneurol.2020.113272.</w:t>
      </w:r>
    </w:p>
    <w:p>
      <w:r>
        <w:t>5. Palladino SP, Helton ES, Jain P, et al. The human blood–nerve barrier transcriptome. Sci Rep. 2017,7:17477. doi:10.1038/s41598-017-17475-y.</w:t>
      </w:r>
    </w:p>
    <w:p>
      <w:r>
        <w:t>6. Yosef N, Ubogu EE. Development and characterization of a novel human in vitro blood–nerve barrier model. J Neuropathol Exp Neurol. 2010,69:82–97. doi:10.1097/NEN.0b013e3181c84a9a.</w:t>
      </w:r>
    </w:p>
    <w:p>
      <w:r>
        <w:t>7. Yosef N, Ubogu EE. αMβ2-integrin–ICAM1 interactions drive flow-dependent trafficking of GBS leukocytes at the BNB. J Cell Physiol. 2012,227:3857–3875. doi:10.1002/jcp.24100.</w:t>
      </w:r>
    </w:p>
    <w:p>
      <w:r>
        <w:t>8. Dong C, Greathouse KM, Beacham RL, et al. Fibronectin connecting segment-1 peptide inhibits pathogenic leukocyte trafficking in experimental CIDP. Exp Neurol. 2017,292:35–45. doi:10.1016/j.expneurol.2017.02.012.</w:t>
      </w:r>
    </w:p>
    <w:p>
      <w:r>
        <w:t>9. Langert KA, Von Zee CL, Stubbs EB Jr. TNF-α enhances CCL2 and ICAM1 expression in peripheral nerve endoneurial endothelial cells. ASN Neuro. 2013,5:e00104. doi:10.1042/AN20120048.</w:t>
      </w:r>
    </w:p>
    <w:p>
      <w:r>
        <w:t>10. Kmezic I, Gustafsson R, Fink K, et al. Validation of elevated interleukin-8 in CSF and discovery of biomarkers in GBS and CIDP. Front Immunol. 2023,14:1241199. doi:10.3389/fimmu.2023.1241199.</w:t>
      </w:r>
    </w:p>
    <w:p>
      <w:r>
        <w:t>11. Quast I, Cueni F, Nimmerjahn F, Tackenberg B, Lünemann JD. Deregulated Fcγ receptor expression in patients with CIDP. Neurol Neuroimmunol Neuroinflamm. 2015,2:e148. doi:10.1212/NXI.0000000000000148.</w:t>
      </w:r>
    </w:p>
    <w:p>
      <w:r>
        <w:t>12. Kanda T, Numata Y, Mizusawa H. Chronic inflammatory demyelinating polyneuropathy: decreased claudin-5 and relocated ZO-1. J Neurol Neurosurg Psychiatry. 2004,75:765-769. doi:10.1136/jnnp.2003.025692.</w:t>
      </w:r>
    </w:p>
    <w:p>
      <w:r>
        <w:t>13. Bréville G, Lascano AM, Roux-Lombard P, et al. Interleukin 8 differentiates Guillain-Barré syndrome from CIDP. Neurol Neuroimmunol Neuroinflamm. 2021,8:e1031.</w:t>
      </w:r>
    </w:p>
    <w:p>
      <w:r>
        <w:t>14. Hafer-Macko CE, Sheikh KA, Li CY, et al. Immune attack on the Schwann cell surface in acute inflammatory demyelinating polyneuropathy. Ann Neurol. 1996,39:625-635.</w:t>
      </w:r>
    </w:p>
    <w:p>
      <w:r>
        <w:t>15. Koike H, Nishi R, Ikeda S, et al. Ultrastructural mechanisms of macrophage-induced demyelination in CIDP. Neurology. 2018,91:1051-1060.</w:t>
      </w:r>
    </w:p>
    <w:p>
      <w:r>
        <w:t>16. Susuki K, Rasband MN, Tohyama K, et al. Anti-GM1 antibodies cause complement-mediated disruption of sodium channel clusters. J Neurosci. 2007,27:3956-3967.</w:t>
      </w:r>
    </w:p>
    <w:p>
      <w:r>
        <w:t>17. Kiefer R, Kieseier BC, Stoll G, Hartung HP. The role of macrophages in immune-mediated damage to the peripheral nervous system. Prog Neurobiol. 2001,64:109-127.</w:t>
      </w:r>
    </w:p>
    <w:p>
      <w:r>
        <w:t>18. Shen D, Chu F, Lang Y, et al. Beneficial or harmful role of macrophages in Guillain-Barré syndrome and experimental autoimmune neuritis. Mediators Inflamm. 2018,2018:4286364.</w:t>
      </w:r>
    </w:p>
    <w:p>
      <w:r>
        <w:t>19. Wolbert J, Li X, Heming M, et al. Redefining the heterogeneity of peripheral nerve cells in health and autoimmunity. Proc Natl Acad Sci USA. 2020,117:9466-9476.</w:t>
      </w:r>
    </w:p>
    <w:p>
      <w:r>
        <w:t>20. Arthur-Farraj PJ, Latouche M, Wilton DK, et al. c-Jun reprograms Schwann cells of injured nerves to generate a repair cell essential for regeneration. Neuron. 2012,75:633-647.</w:t>
      </w:r>
    </w:p>
    <w:p>
      <w:r>
        <w:t>21. Jessen KR, Mirsky R. The repair Schwann cell and its function in regenerating nerves. J Physiol. 2016,594:3521-3531.</w:t>
      </w:r>
    </w:p>
    <w:p>
      <w:r>
        <w:t>22. Napoli I, Noon LA, Ribeiro S, et al. A central role for ERK signaling in controlling Schwann cell plasticity and peripheral nerve regeneration. Neuron. 2012,73:729-742.</w:t>
      </w:r>
    </w:p>
    <w:p>
      <w:r>
        <w:t>23. Dowsing BJ, Morrison WA, Nicola NA, et al. Leukemia inhibitory factor is an autocrine survival factor for Schwann cells. J Neurochem. 1999,73:96-104.</w:t>
      </w:r>
    </w:p>
    <w:p>
      <w:r>
        <w:t>24. Chen Q, et al. Leukemia inhibitory factor regulates Schwann-cell proliferation and migration. Cell Death Dis. 2021,12:417.</w:t>
      </w:r>
    </w:p>
    <w:p>
      <w:r>
        <w:t>25. Lima MFO, Nogueira VB, Maury W, et al. Altered cellular pathways in the blood of patients with Guillain–Barré syndrome. J Peripher Nerv Syst. 2025,30:e70012. doi:10.1111/jns.70012.</w:t>
      </w:r>
    </w:p>
    <w:p>
      <w:r>
        <w:t>26. Chang KH, Chuang TJ, Lyu RK, et al. Identification of gene networks and pathways associated with Guillain–Barré syndrome. PLoS One. 2012,7:e29506. doi:10.1371/journal.pone.0029506.</w:t>
      </w:r>
    </w:p>
    <w:p>
      <w:r>
        <w:t>27. O’Brien JA, Lesnak JB, Sankaranarayanan I, et al. Peripheral nerve-targeting and pain-promoting transcriptomic signatures in early Guillain–Barré syndrome. bioRxiv. 2025:2025.09.24.678413. doi:10.1101/2025.09.24.678413.</w:t>
      </w:r>
    </w:p>
    <w:p>
      <w:r>
        <w:t>28. Shi C, et al. Single-cell transcriptomic profiling of peripheral blood mononuclear cells from treatment-naive AIDP. Sci Data. 2026. PMID:42248927.</w:t>
      </w:r>
    </w:p>
    <w:p>
      <w:r>
        <w:t>29. Collet-Vidiella R, Villatoro-González P, Lleixà C, et al. Longitudinal proteomics defines stage-specific molecular signatures in Guillain–Barré syndrome. medRxiv. 2026. doi:10.64898/2026.05.23.26353948.</w:t>
      </w:r>
    </w:p>
    <w:p>
      <w:r>
        <w:t>30. Heming M, Börsch AL, Wolbert J, et al. Multi-omic identification of perineurial hyperplasia and lipid-associated nerve macrophages in human polyneuropathies. Nat Commun. 2025,16:7872. doi:10.1038/s41467-025-62964-8.</w:t>
      </w:r>
    </w:p>
    <w:p>
      <w:r>
        <w:t>31. Li M, et al. Single-cell analysis reveals novel clonally expanded monocytes associated with the IL1β–IL1R2 pair in AIDP. Sci Rep. 2023,13:5862. doi:10.1038/s41598-023-32427-5.</w:t>
      </w:r>
    </w:p>
    <w:p>
      <w:r>
        <w:t>32. Xue Y, Yin P, Li G, Zhong D. Transcriptomes in rat sciatic nerves at different stages of experimental autoimmune neuritis. Clin Exp Immunol. 2019,198:184–197. doi:10.1111/cei.13354.</w:t>
      </w:r>
    </w:p>
    <w:p>
      <w:r>
        <w:t>33. Squair JW, Gautier M, Kathe C, et al. Confronting false discoveries in single-cell differential expression. Nat Commun. 2021,12:5692.</w:t>
      </w:r>
    </w:p>
    <w:p>
      <w:r>
        <w:t>34. Crowell HL, Soneson C, Germain PL, et al. muscat detects subpopulation-specific state transitions from multi-sample single-cell data. Nat Commun. 2020,11:6077.</w:t>
      </w:r>
    </w:p>
    <w:p>
      <w:r>
        <w:t>35. Benjamini Y, Hochberg Y. Controlling the false discovery rate: a practical and powerful approach to multiple testing. J R Stat Soc Series B. 1995,57:289–300.</w:t>
      </w:r>
    </w:p>
    <w:p>
      <w:r>
        <w:t>36. Zimmerman KD, Espeland MA, Langefeld CD. A practical solution to pseudoreplication bias in single-cell studies. Nat Commun. 2021,12:738.</w:t>
      </w:r>
    </w:p>
    <w:p>
      <w:r>
        <w:t>37. Aitchison J. The statistical analysis of compositional data. J R Stat Soc Series B. 1982,44:139-177.</w:t>
      </w:r>
    </w:p>
    <w:p>
      <w:r>
        <w:t>38. Jin S, Guerrero-Juarez CF, Zhang L, et al. Inference and analysis of cell-cell communication using CellChat. Nat Commun. 2021,12:1088.</w:t>
      </w:r>
    </w:p>
    <w:p>
      <w:r>
        <w:t>39. Browaeys R, Saelens W, Saeys Y. NicheNet: modeling intercellular communication by linking ligands to target genes. Nat Methods. 2020,17:159-162.</w:t>
      </w:r>
    </w:p>
    <w:p>
      <w:r>
        <w:t>40. Higgins JPT, Thompson SG, Deeks JJ, Altman DG. Measuring inconsistency in meta-analyses. BMJ. 2003,327:557-560.</w:t>
      </w:r>
    </w:p>
    <w:p>
      <w:r>
        <w:t>41. IntHout J, Ioannidis JPA, Borm GF. The Hartung-Knapp-Sidik-Jonkman method for random-effects meta-analysis. BMC Med Res Methodol. 2014,14:25.</w:t>
      </w:r>
    </w:p>
    <w:p>
      <w:r>
        <w:t>42. Subramanian A, Tamayo P, Mootha VK, et al. Gene set enrichment analysis. Proc Natl Acad Sci USA. 2005,102:15545-15550.</w:t>
      </w:r>
    </w:p>
    <w:p>
      <w:r>
        <w:t>43. Kim H, Chun J, Cha DH, et al. Integrated peripheral immune profiling reveals B-cell dysregulation and CD8 effector signatures in CIDP. Front Immunol. 2026,17:1888882. doi:10.3389/fimmu.2026.1888882.</w:t>
      </w:r>
    </w:p>
    <w:p>
      <w:r>
        <w:t>44. Richard A, Corvol JC, Debs R, et al. Transcriptome analysis of peripheral blood in CIDP identifies TNFR1 and TLR pathways in the IVIg response. Medicine (Baltimore). 2016,95:e3370. doi:10.1097/MD.0000000000003370.</w:t>
      </w:r>
    </w:p>
    <w:p>
      <w:r>
        <w:t>45. Shimizu F, Sato R, Mizukami Y, et al. Blood–nerve barrier breakdown induced by immunoglobulin G in CIDP and multifocal motor neuropathy. Int J Mol Sci. 2026,27:1088. doi:10.3390/ijms27021088.</w:t>
      </w:r>
    </w:p>
    <w:p>
      <w:r>
        <w:t>46. NCBI Gene Expression Omnibus. GSE211225: Altered cellular pathways in the blood of patients with Guillain–Barré syndrome. https://www.ncbi.nlm.nih.gov/geo/query/acc.cgi?acc=GSE211225. Accessed 21 Aug 2026.</w:t>
      </w:r>
    </w:p>
    <w:p>
      <w:r>
        <w:t>47. NCBI BioProject. PRJNA1293757: Single-cell transcriptomic profiling of PBMCs from treatment-naive AIDP. https://www.ncbi.nlm.nih.gov/bioproject/PRJNA1293757. Accessed 21 Aug 2026.</w:t>
      </w:r>
    </w:p>
    <w:p>
      <w:r>
        <w:t>48. NCBI Gene Expression Omnibus. GSE304871: Early untreated AIDP sorted-cell RNA sequencing. https://www.ncbi.nlm.nih.gov/geo/query/acc.cgi?acc=GSE304871. Accessed 21 Aug 2026.</w:t>
      </w:r>
    </w:p>
    <w:p>
      <w:r>
        <w:t>49. NCBI Gene Expression Omnibus. GSE31014: Guillain–Barré syndrome peripheral-blood leukocyte expression. https://www.ncbi.nlm.nih.gov/geo/query/acc.cgi?acc=GSE31014. Accessed 21 Aug 2026.</w:t>
      </w:r>
    </w:p>
    <w:p>
      <w:r>
        <w:t>50. NeRveLabBCN. GBS-Proteomics: longitudinal SomaScan data and analysis code. https://github.com/NeRveLabBCN/GBS-Proteomics. Accessed 21 Aug 2026.</w:t>
      </w:r>
    </w:p>
    <w:p>
      <w:r>
        <w:t>51. NCBI Gene Expression Omnibus. GSE285983: Human sural-nerve single-nucleus transcriptomic atlas. https://www.ncbi.nlm.nih.gov/geo/query/acc.cgi?acc=GSE285983. Accessed 21 Aug 2026.</w:t>
      </w:r>
    </w:p>
    <w:p>
      <w:r>
        <w:t>52. NCBI Gene Expression Omnibus. GSE107574: Human blood–nerve barrier transcriptome. https://www.ncbi.nlm.nih.gov/geo/query/acc.cgi?acc=GSE107574. Accessed 21 Aug 2026.</w:t>
      </w:r>
    </w:p>
    <w:p>
      <w:r>
        <w:t>53. NCBI Gene Expression Omnibus. GSE133750: Rat experimental autoimmune neuritis sciatic-nerve transcriptome. https://www.ncbi.nlm.nih.gov/geo/query/acc.cgi?acc=GSE133750. Accessed 21 Aug 2026.</w:t>
      </w:r>
    </w:p>
    <w:p>
      <w:r>
        <w:t>54. Heming M, Lohmann L, Schulte-Mecklenbeck A, et al. Immune cell profiling of CSF provides pathogenetic insights into inflammatory neuropathies. Front Immunol. 2019,10:515.</w:t>
      </w:r>
    </w:p>
    <w:p>
      <w:r>
        <w:t>55. Xia RH, Yosef N, Ubogu EE. Chemokine ligand-receptor expression in severe experimental autoimmune neuritis. Neuropathol Appl Neurobiol. 2010,36:388-398.</w:t>
      </w:r>
    </w:p>
    <w:p>
      <w:pPr>
        <w:pStyle w:val="Heading1"/>
      </w:pPr>
      <w:r>
        <w:t>Figure legends</w:t>
      </w:r>
    </w:p>
    <w:p>
      <w:r>
        <w:rPr>
          <w:b/>
        </w:rPr>
        <w:t xml:space="preserve">Figure 1: </w:t>
      </w:r>
      <w:r>
        <w:t>Study architecture and BNB-centered analytical framework. Four acute GBS blood cohorts, paired longitudinal serum proteomics, CIDP sural-nerve single-nucleus data and a normal human BNB reference were organized around recruitment, barrier engagement, macrophage effector activity and Schwann-cell repair. BNB, blood–nerve barrier, denotes the specialized endoneurial microvascular endothelial barrier of peripheral nerve and is not used as a synonym for the blood–brain barrier.</w:t>
      </w:r>
    </w:p>
    <w:p>
      <w:r>
        <w:rPr>
          <w:b/>
        </w:rPr>
        <w:t xml:space="preserve">Figure 2: </w:t>
      </w:r>
      <w:r>
        <w:t>Acute GBS converges on myeloid recruitment. (A) Hedges g for seven prespecified programs across whole blood, leukocytes, sorted CD11b+ cells and PBMC monocytes. (B) Random-effects estimates with 95% confidence intervals, teal points indicate nominal P&lt;0.05. (C) Whole-blood acute-versus-control and acute-versus-post-acute contrasts. (D) Sample-level monocyte scores in PBMC data. Participants, not cells, were the inferential unit.</w:t>
      </w:r>
    </w:p>
    <w:p>
      <w:r>
        <w:rPr>
          <w:b/>
        </w:rPr>
        <w:t xml:space="preserve">Figure 3: </w:t>
      </w:r>
      <w:r>
        <w:t>Longitudinal proteomics resolves recovery trajectories. (A) Paired acute-to-one-year patient trajectories for selected protein programs, orange and teal points denote acute and one-year measurements, respectively, and lines connect measurements from the same participant. (B) Within-participant standardized effects, teal denotes paired P&lt;0.05 and navy denotes P≥0.05. Displayed P values are paired-test results. (C) Cross-sectional acute-versus-control and one-year-versus-control effects. (D) Biological interpretation separates recruitment, transient interferon response and persistent remodeling.</w:t>
      </w:r>
    </w:p>
    <w:p>
      <w:r>
        <w:rPr>
          <w:b/>
        </w:rPr>
        <w:t xml:space="preserve">Figure 4: </w:t>
      </w:r>
      <w:r>
        <w:t>CIDP nerve resolves barrier and repair programs. (A) Expression localization of endothelial, macrophage and Schwann-cell genes across nerve states. Dot size represents detection and color represents scaled mean expression. (B) CIDP-versus-CIAP program shifts, diamonds denote FDR&lt;0.05. (C) Donor-level differences in centered-log-ratio cell fractions. (D) Spearman associations between program scores and INCAT disability, orange denotes nominal P&lt;0.05 and teal denotes P≥0.05. BNB EC denotes endoneurial microvascular endothelial cells.</w:t>
      </w:r>
    </w:p>
    <w:p>
      <w:r>
        <w:rPr>
          <w:b/>
        </w:rPr>
        <w:t xml:space="preserve">Figure 5: </w:t>
      </w:r>
      <w:r>
        <w:t>Cell-state coupling supports a BNB-centered tissue circuit. (A) Cross-compartment ligand and receptor evidence linking acute GBS recruitment to CIDP nerve receiver states. (B) Same-donor standardized programs illustrate heterogeneity among CIDP nerves. (C) Expression-supported model connecting circulating myeloid cells, BNB endothelium, nerve macrophages and Schwann-cell injury/repair. Same-donor expression supports a coordinated tissue circuit, while the magnitude of individual programs varies among donors. These relationships are hypothesis-generating and do not demonstrate direct signaling.</w:t>
      </w:r>
    </w:p>
    <w:p>
      <w:r>
        <w:rPr>
          <w:b/>
        </w:rPr>
        <w:t xml:space="preserve">Figure 6: </w:t>
      </w:r>
      <w:r>
        <w:t>Integrated barrier-centered model across disease phases. Acute GBS emphasizes circulating myeloid recruitment, recovery separates transient from persistent protein programs, active chronic nerve contains macrophage, BNB endothelial and Schwann-cell remodeling, and stable or treated CIDP may retain treatment-shaped Fc and repair programs. Here, BNB refers specifically to the blood–nerve barrier formed by specialized endoneurial microvascular endothelium in peripheral nerve. The diagram represents a phase-aware mechanistic synthesis rather than a longitudinal observation of the same patients.</w:t>
      </w:r>
    </w:p>
    <w:sectPr w:rsidR="00FC693F" w:rsidRPr="0006063C" w:rsidSect="00034616">
      <w:footerReference w:type="default" r:id="rId9"/>
      <w:pgSz w:w="12240" w:h="15840"/>
      <w:pgMar w:top="1152" w:right="1080" w:bottom="1080" w:left="1224"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line="240" w:lineRule="auto"/>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line="240"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