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color w:val="000000"/>
        </w:rPr>
        <w:t>Supplementary Methods: reproducibility and evidence attribution</w:t>
      </w:r>
    </w:p>
    <w:p>
      <w:pPr/>
      <w:r>
        <w:rPr>
          <w:rFonts w:ascii="Times New Roman" w:hAnsi="Times New Roman" w:eastAsia="Times New Roman" w:cs="Times New Roman"/>
          <w:color w:val="000000"/>
        </w:rPr>
        <w:t>Immune gene expression across blood, cerebrospinal fluid and nerve in inflammatory neuropathies</w:t>
      </w:r>
    </w:p>
    <w:p>
      <w:pPr/>
      <w:r>
        <w:rPr>
          <w:rFonts w:ascii="Times New Roman" w:hAnsi="Times New Roman" w:eastAsia="Times New Roman" w:cs="Times New Roman"/>
          <w:color w:val="000000"/>
        </w:rPr>
        <w:t>Manuscript v41, 7 September 2026</w:t>
      </w:r>
    </w:p>
    <w:p>
      <w:pPr>
        <w:pStyle w:val="Heading1"/>
      </w:pPr>
      <w:r>
        <w:rPr>
          <w:rFonts w:ascii="Times New Roman" w:hAnsi="Times New Roman" w:eastAsia="Times New Roman" w:cs="Times New Roman"/>
          <w:color w:val="000000"/>
        </w:rPr>
        <w:t>Purpose and evidence attribution</w:t>
      </w:r>
    </w:p>
    <w:p>
      <w:pPr/>
      <w:r>
        <w:rPr>
          <w:rFonts w:ascii="Times New Roman" w:hAnsi="Times New Roman" w:eastAsia="Times New Roman" w:cs="Times New Roman"/>
          <w:color w:val="000000"/>
        </w:rPr>
        <w:t>This appendix documents the statistical procedures and source attribution for the current manuscript. The study combines reanalysis of public transcriptomic resources with synthesis of published CSF protein estimates and localization of published genetic candidates. These components have different inferential units and are identified separately in the figure and table index in Supplementary Data 1.</w:t>
      </w:r>
    </w:p>
    <w:p>
      <w:pPr/>
      <w:r>
        <w:rPr>
          <w:rFonts w:ascii="Times New Roman" w:hAnsi="Times New Roman" w:eastAsia="Times New Roman" w:cs="Times New Roman"/>
          <w:color w:val="000000"/>
        </w:rPr>
        <w:t>Supplementary Data 1 retains the preceding aggregate tables and adds gene coverage, donor design summaries, Fc sensitivity tests, refined annotation results, spatial coverage and source access audits. Donor intermediates are retained in the private author materials. Public reconstruction begins from the original source files.</w:t>
      </w:r>
    </w:p>
    <w:p>
      <w:pPr>
        <w:pStyle w:val="Heading1"/>
      </w:pPr>
      <w:r>
        <w:rPr>
          <w:rFonts w:ascii="Times New Roman" w:hAnsi="Times New Roman" w:eastAsia="Times New Roman" w:cs="Times New Roman"/>
          <w:color w:val="000000"/>
        </w:rPr>
        <w:t>Blood cohorts and cross-cohort synthesis</w:t>
      </w:r>
    </w:p>
    <w:p>
      <w:pPr/>
      <w:r>
        <w:rPr>
          <w:rFonts w:ascii="Times New Roman" w:hAnsi="Times New Roman" w:eastAsia="Times New Roman" w:cs="Times New Roman"/>
          <w:color w:val="000000"/>
        </w:rPr>
        <w:t>GSE211225 contains six acute, ten postacute and six control whole-blood profiles. GSE31014 contributes seven GBS and seven control leukocyte profiles. PRJNA1293757 contributes PBMC data from three patients and two controls; monocyte expression is aggregated by biological sample.</w:t>
      </w:r>
    </w:p>
    <w:p>
      <w:pPr/>
      <w:r>
        <w:rPr>
          <w:rFonts w:ascii="Times New Roman" w:hAnsi="Times New Roman" w:eastAsia="Times New Roman" w:cs="Times New Roman"/>
          <w:color w:val="000000"/>
        </w:rPr>
        <w:t>Seven script-defined gene modules were evaluated within each blood cohort. Cohort effects used Hedges g and exact label permutation tests of mean score differences. The supplied common.py enumerates all label partitions when their number does not exceed 250000; the acute–control comparisons lie below this limit. Benjamini–Hochberg correction covers seven modules within each comparison. In v39, acute–postacute inferential results are omitted because cross-phase donor independence could not be verified from the archived design. Postacute profiles were included in the original preprocessing.</w:t>
      </w:r>
    </w:p>
    <w:p>
      <w:pPr/>
      <w:r>
        <w:rPr>
          <w:rFonts w:ascii="Times New Roman" w:hAnsi="Times New Roman" w:eastAsia="Times New Roman" w:cs="Times New Roman"/>
          <w:color w:val="000000"/>
        </w:rPr>
        <w:t>The cross-cohort model uses inverse variance weighting with the DerSimonian-Laird estimate of between-study variance. The reported modified Hartung-Knapp intervals use a residual variance scale bounded below by one and a t distribution with k minus one degrees of freedom. The repository script reproduces the estimates, intervals, P values and I² for all seven modules. Leave-one-cohort-out analyses retain two cohorts and assess direction, with no claim of confirmatory significance.</w:t>
      </w:r>
    </w:p>
    <w:p>
      <w:pPr/>
      <w:r>
        <w:rPr>
          <w:rFonts w:ascii="Times New Roman" w:hAnsi="Times New Roman" w:eastAsia="Times New Roman" w:cs="Times New Roman"/>
          <w:color w:val="000000"/>
        </w:rPr>
        <w:t>CXCL8 recruitment and complement have positive effects in all three blood cohorts. Four other modules have positive effects in two cohorts. The LIF and OSM module is positive only in whole blood. None of the seven pooled effects reaches P below 0.05.</w:t>
      </w:r>
    </w:p>
    <w:p>
      <w:pPr>
        <w:pStyle w:val="Heading1"/>
      </w:pPr>
      <w:r>
        <w:rPr>
          <w:rFonts w:ascii="Times New Roman" w:hAnsi="Times New Roman" w:eastAsia="Times New Roman" w:cs="Times New Roman"/>
          <w:color w:val="000000"/>
        </w:rPr>
        <w:t>Peripheral nerve analyses</w:t>
      </w:r>
    </w:p>
    <w:p>
      <w:pPr/>
      <w:r>
        <w:rPr>
          <w:rFonts w:ascii="Times New Roman" w:hAnsi="Times New Roman" w:eastAsia="Times New Roman" w:cs="Times New Roman"/>
          <w:color w:val="000000"/>
        </w:rPr>
        <w:t>GSE285983 provides sural nerve single nucleus data. The principal comparison includes 9 CIDP and 11 CIAP donors, with eligible donor counts varying by cell group. Counts are summed for each donor and annotated cell group. Groups containing at least 20 nuclei per donor contribute to targeted pseudobulk comparisons. Library sizes use all genes. Targeted expression is transformed as log2(CPM + 0.5).</w:t>
      </w:r>
    </w:p>
    <w:p>
      <w:pPr/>
      <w:r>
        <w:rPr>
          <w:rFonts w:ascii="Times New Roman" w:hAnsi="Times New Roman" w:eastAsia="Times New Roman" w:cs="Times New Roman"/>
          <w:color w:val="000000"/>
        </w:rPr>
        <w:t>Within each cell group, genes are standardized across eligible donors from all diagnoses. Gene module scores are means of available standardized genes. The original CIDP and CIAP comparisons use the U test of Mann and Whitney with two tails and correction across eight modules within each cell group. These original tests are unadjusted. Version 41 adds the demographic, composition, annotation and broader correction checks described below.</w:t>
      </w:r>
    </w:p>
    <w:p>
      <w:pPr/>
      <w:r>
        <w:rPr>
          <w:rFonts w:ascii="Times New Roman" w:hAnsi="Times New Roman" w:eastAsia="Times New Roman" w:cs="Times New Roman"/>
          <w:color w:val="000000"/>
        </w:rPr>
        <w:t>Cell fractions are compared at donor level using unadjusted Mann-Whitney tests, with multiple testing correction across cell groups. Spearman correlations among five selected module scores use nine matched CIDP donors. The ten pairwise tests receive one Benjamini-Hochberg correction. The fifteen correlations with INCAT receive a separate correction. No result in either correlation family survives FDR 0.05. Nominal associations remain exploratory.</w:t>
      </w:r>
    </w:p>
    <w:p>
      <w:pPr/>
      <w:r>
        <w:rPr>
          <w:rFonts w:ascii="Times New Roman" w:hAnsi="Times New Roman" w:eastAsia="Times New Roman" w:cs="Times New Roman"/>
          <w:color w:val="000000"/>
        </w:rPr>
        <w:t>The original Fc score was reproduced from the archived donor expression table, with a maximum absolute score difference below 0.000000000001. Reaggregation of all 20 case and comparator raw matrices reproduced 220 macrophage gene expression values to within the same numerical tolerance. Broader correction across 80 module contrasts gives q = 0.087 for the Fc module, compared with q = 0.0087 for the original eight module family.</w:t>
      </w:r>
    </w:p>
    <w:p>
      <w:pPr>
        <w:pStyle w:val="Heading2"/>
      </w:pPr>
      <w:r>
        <w:t>Exploratory Fc analysis specification</w:t>
      </w:r>
    </w:p>
    <w:p>
      <w:pPr/>
      <w:r>
        <w:t>The new sensitivity plan was written before the first successful new statistical run, after the original Fc association was already known. It is not a preregistration. An input coverage check identified FCGR2C as absent before new test results were generated. The available gene family therefore contains 11 tests. The original module includes FCGR1A, FCGR2A, FCGR2B, FCGR3A, FCGR3B, FCGRT, FCER1G, TYROBP, SYK, LYN and HCK.</w:t>
      </w:r>
    </w:p>
    <w:p>
      <w:pPr>
        <w:pStyle w:val="Heading2"/>
      </w:pPr>
      <w:r>
        <w:t>Demographic sensitivity and exact permutation</w:t>
      </w:r>
    </w:p>
    <w:p>
      <w:pPr/>
      <w:r>
        <w:t>All nine CIDP donors are male. CIAP includes seven male and four female donors. CIDP counts at Essen, Münster and Würzburg are five, one and three, respectively. Corresponding CIAP counts are one, six and four. Linear models use an intercept, a CIDP indicator, age and indicator variables for centre. The sex sensitivity adds a female indicator. HC3 covariance uses squared residuals divided by the square of one minus leverage inside the sandwich estimator. Confidence limits and tests use a t distribution with residual degrees of freedom. These intervals describe adjusted mean score differences. Mann and Whitney P values are reported for unadjusted comparisons. No effect in female CIDP donors is estimable from this design.</w:t>
      </w:r>
    </w:p>
    <w:p>
      <w:pPr>
        <w:pStyle w:val="Heading2"/>
      </w:pPr>
      <w:r>
        <w:t>Permutation assumptions and omission analyses</w:t>
      </w:r>
    </w:p>
    <w:p>
      <w:pPr/>
      <w:r>
        <w:t>The exact centre permutation test preserves the number of CIDP labels within each centre. It enumerates all 1470 possible allocations and compares the absolute centre adjusted disease coefficient with the observed coefficient. Seven allocations are at least as extreme, giving P = 0.0047619. The observed allocation is included in the denominator, so no Monte Carlo correction is added. The test assumes exchangeability within centre and cannot remove unmeasured confounding. Separate donor, centre and gene omissions are correlated sensitivity checks. Their nominal P values are descriptive and are not treated as independent replications.</w:t>
      </w:r>
    </w:p>
    <w:p>
      <w:pPr>
        <w:pStyle w:val="Heading2"/>
      </w:pPr>
      <w:r>
        <w:t>Functional component definitions</w:t>
      </w:r>
    </w:p>
    <w:p>
      <w:pPr/>
      <w:r>
        <w:t>Four exploratory summaries distinguish activating receptors FCGR1A, FCGR2A and FCGR3A, the inhibitory receptor FCGR2B, the neonatal Fc receptor FCGRT, and signalling components FCER1G, TYROBP, SYK, LYN and HCK. Correction covers these four summaries separately. FCGR3B remains in the original module and individual gene table but is outside the four summaries. Gene standardisation uses eligible donors from all diagnoses for these component analyses. Standardisation within CIDP and CIAP alone is a separate sensitivity analysis. Both component families were motivated by the original composite result.</w:t>
      </w:r>
    </w:p>
    <w:p>
      <w:pPr>
        <w:pStyle w:val="Heading2"/>
      </w:pPr>
      <w:r>
        <w:t>Refined annotation and composition</w:t>
      </w:r>
    </w:p>
    <w:p>
      <w:pPr/>
      <w:r>
        <w:t>The original broad macrophage annotation is the union of Macro1 and Macro2 from the whole nerve atlas. Refined immune annotations use Macro1 through Macro18 and additional immune categories. These labels refer to different annotation levels and must not be interchanged. Barcode joins retain all original macrophage nuclei. Thirty two refined categories occur in the focused cohort, including reassigned immune populations and nuclei with no refined label. Fractions use the original macrophage count as denominator. Each category is tested at donor level, with correction across all 32 tests.</w:t>
      </w:r>
    </w:p>
    <w:p>
      <w:pPr>
        <w:pStyle w:val="Heading2"/>
      </w:pPr>
      <w:r>
        <w:t>Composition model</w:t>
      </w:r>
    </w:p>
    <w:p>
      <w:pPr/>
      <w:r>
        <w:t>A pseudocount of 0.5 is added to each donor category count. Log counts are centred within donor to form centred log ratios. Principal component analysis is performed across the 20 donors without using disease labels. The first two components explain 22.7% and 20.5% of composition variation and enter the Fc model with age and centre. The estimated disease coefficient is −0.310, with a 95% interval from −1.038 to 0.419 and P = 0.375. This model has 13 residual degrees of freedom. Composition could be a mediator, a confounder or a marker of technical variation. The model does not identify which explanation applies.</w:t>
      </w:r>
    </w:p>
    <w:p>
      <w:pPr>
        <w:pStyle w:val="Heading2"/>
      </w:pPr>
      <w:r>
        <w:t>Raw matrix annotation checks</w:t>
      </w:r>
    </w:p>
    <w:p>
      <w:pPr/>
      <w:r>
        <w:t>The 20 original count matrices are summed by donor under the original macrophage union, original Macro1, original Macro2, the refined macrophage union and each of the 18 refined macrophage subtypes. Library sizes contain all measured genes. Each donor requires at least 20 nuclei for the annotation. Tests additionally require at least three eligible donors per diagnosis. Original Macro1 has no eligible donors. Three of four broad annotation definitions and nine of 18 individual refined subtypes are eligible. Broad annotation checks receive correction across three tests, and refined subtype tests receive a separate correction across nine. Genes are standardized across eligible CIDP and CIAP donors within each definition, so effect magnitudes use definition specific scales.</w:t>
      </w:r>
    </w:p>
    <w:p>
      <w:pPr>
        <w:pStyle w:val="Heading2"/>
      </w:pPr>
      <w:r>
        <w:t>External data measurement and access audit</w:t>
      </w:r>
    </w:p>
    <w:p>
      <w:pPr/>
      <w:r>
        <w:t>All eight GSE285984 cell feature matrices contain the same 99 biological genes. None of the specified Fc module genes is present. The two CIDP and two CIAP spatial donors overlap the original nerve atlas, so even covered markers would provide internal triangulation. No spatial distance or expression association analysis was performed. The PRIDE PXD056286 inventory contains 19 instrument files, four Proteome Discoverer files and one checksum file. These are file counts, not participant counts. Its article supplement contains figure descriptions, with no donor protein abundance table. No new quantitative proteomic comparison was performed.</w:t>
      </w:r>
    </w:p>
    <w:p>
      <w:pPr>
        <w:pStyle w:val="Heading2"/>
      </w:pPr>
      <w:r>
        <w:t>CIDP blood candidates</w:t>
      </w:r>
    </w:p>
    <w:p>
      <w:pPr/>
      <w:r>
        <w:t>Kim and colleagues report four KBDS accessions, KSX10000018 through KSX10000021, for a single cell discovery study with two CIDP and two healthy donors. An analysable matrix was not retrieved for this revision. The larger clinical cohort must not be substituted for these single cell donor counts. EGA EGAD00001015725 is a controlled access candidate. The Theranostics T cell study states that data can be obtained from the corresponding author. No data access requests were sent. The audit distinguishes candidate datasets from datasets actually reanalysed and includes the source URLs.</w:t>
      </w:r>
    </w:p>
    <w:p>
      <w:pPr>
        <w:pStyle w:val="Heading1"/>
      </w:pPr>
      <w:r>
        <w:rPr>
          <w:rFonts w:ascii="Times New Roman" w:hAnsi="Times New Roman" w:eastAsia="Times New Roman" w:cs="Times New Roman"/>
          <w:color w:val="000000"/>
        </w:rPr>
        <w:t>CSF evidence and published coefficients</w:t>
      </w:r>
    </w:p>
    <w:p>
      <w:pPr/>
      <w:r>
        <w:rPr>
          <w:rFonts w:ascii="Times New Roman" w:hAnsi="Times New Roman" w:eastAsia="Times New Roman" w:cs="Times New Roman"/>
          <w:color w:val="000000"/>
        </w:rPr>
        <w:t>CSF evidence was assembled from selected reports rather than a systematic literature review. For the quantitative synthesis, all ten non-IL8 CSF proteins with coefficients and standard errors in both cohorts of Table 4B in Kmezic et al. were eligible, irrespective of effect direction or statistical significance. This corrected an earlier extraction that omitted IL6 and CD5. The source regressions adjusted for age, sex and sample handling. Inverse-variance fixed-effect estimates and normal-approximation 95% confidence intervals were calculated, with Benjamini–Hochberg correction across ten pooled tests. DerSimonian–Laird estimates, Q and I² were reported as heterogeneity assessments. The normal approximation does not reproduce the source regressions’ small-sample tests, and pooled significance does not establish significance in both cohorts. IL8, the source study’s separately reported primary biomarker in Table 3, was retained as contextual evidence. The selected table does not contain the full assayed proteome. Published identifications and annotations from PXD002911 and three other reports were recorded in a descriptive evidence map. Counts of reports and platforms describe coverage of these four studies, not effect magnitude or statistical strength. No participant-level CSF matrix was reconstructed or reanalysed.</w:t>
      </w:r>
    </w:p>
    <w:p>
      <w:pPr/>
      <w:r>
        <w:rPr>
          <w:rFonts w:ascii="Times New Roman" w:hAnsi="Times New Roman" w:eastAsia="Times New Roman" w:cs="Times New Roman"/>
          <w:color w:val="000000"/>
        </w:rPr>
        <w:t>Figure 3C counts selected reports and assay platforms covering the displayed programs. It is a descriptive tally based on the published evidence table. It is not a systematic meta-analysis of all available CSF proteins, a measure of effect magnitude, or a count of newly analyzed independent cohorts. The Kmezic coefficient synthesis is shown separately in panels A and B.</w:t>
      </w:r>
    </w:p>
    <w:p>
      <w:pPr/>
      <w:r>
        <w:rPr>
          <w:rFonts w:ascii="Times New Roman" w:hAnsi="Times New Roman" w:eastAsia="Times New Roman" w:cs="Times New Roman"/>
          <w:color w:val="000000"/>
        </w:rPr>
        <w:t>IL8 is reported separately in source Table 3 and was not included in the non-IL8 Table 4B synthesis. Its source-study findings provide context only. The ten-protein correction yields nine positive concordant proteins and one discordant protein, CD5, with pooled q = 0.984. Pooled normal-approximation tests must not be substituted for the original cohort-specific regression tests.</w:t>
      </w:r>
    </w:p>
    <w:p>
      <w:pPr>
        <w:pStyle w:val="Heading1"/>
      </w:pPr>
      <w:r>
        <w:rPr>
          <w:rFonts w:ascii="Times New Roman" w:hAnsi="Times New Roman" w:eastAsia="Times New Roman" w:cs="Times New Roman"/>
          <w:color w:val="000000"/>
        </w:rPr>
        <w:t>Genetic candidate localization</w:t>
      </w:r>
    </w:p>
    <w:p>
      <w:pPr/>
      <w:r>
        <w:rPr>
          <w:rFonts w:ascii="Times New Roman" w:hAnsi="Times New Roman" w:eastAsia="Times New Roman" w:cs="Times New Roman"/>
          <w:color w:val="000000"/>
        </w:rPr>
        <w:t xml:space="preserve">The selection of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is based on published GWAS, Mendelian randomization and colocalization results from Du et al. 2024. Those estimates are retained with their source DOI. No independent GWAS, MAGMA analysis, TWAS or new colocalization analysis was performed for this release.</w:t>
      </w:r>
    </w:p>
    <w:p>
      <w:pPr/>
      <w:r>
        <w:rPr>
          <w:rFonts w:ascii="Times New Roman" w:hAnsi="Times New Roman" w:eastAsia="Times New Roman" w:cs="Times New Roman"/>
          <w:color w:val="000000"/>
        </w:rPr>
        <w:t>Candidate localization and the 5000-resample bootstrap were calculated from donor and cell-group summaries, using the fixed random seed 20260904. The public workbook retains disease-group expression and detection estimates, bootstrap intervals and CIDP versus CIAP contrasts. None of the forty contrasts displayed in Figure 5D survives FDR 0.05. The underlying Genetic_donor_celltype table is omitted from this public workbook. The supplied compilation and bootstrap scripts start from that table and do not reconstruct it from raw matrices.</w:t>
      </w:r>
    </w:p>
    <w:p>
      <w:pPr>
        <w:pStyle w:val="Heading1"/>
      </w:pPr>
      <w:r>
        <w:rPr>
          <w:rFonts w:ascii="Times New Roman" w:hAnsi="Times New Roman" w:eastAsia="Times New Roman" w:cs="Times New Roman"/>
          <w:color w:val="000000"/>
        </w:rPr>
        <w:t>Published external nerve observations</w:t>
      </w:r>
    </w:p>
    <w:p>
      <w:pPr/>
      <w:r>
        <w:rPr>
          <w:rFonts w:ascii="Times New Roman" w:hAnsi="Times New Roman" w:eastAsia="Times New Roman" w:cs="Times New Roman"/>
          <w:color w:val="000000"/>
        </w:rPr>
        <w:t>Stascheit et al. reported C5b-9 deposition in 52 of 55 CIDP nerve biopsies, together with histological and proteomic observations associated with PXD056286. This study calculates the proportion and Wilson interval from that published count. It does not independently examine those biopsies or reanalyse the raw proteome. Supplementary Figure 2 has been redrawn from the retained aggregate values, with source attribution.</w:t>
      </w:r>
    </w:p>
    <w:p>
      <w:pPr>
        <w:pStyle w:val="Heading1"/>
      </w:pPr>
      <w:r>
        <w:rPr>
          <w:rFonts w:ascii="Times New Roman" w:hAnsi="Times New Roman" w:eastAsia="Times New Roman" w:cs="Times New Roman"/>
          <w:color w:val="000000"/>
        </w:rPr>
        <w:t>Reproduction and figure provenance</w:t>
      </w:r>
    </w:p>
    <w:p>
      <w:pPr/>
      <w:r>
        <w:rPr>
          <w:rFonts w:ascii="Times New Roman" w:hAnsi="Times New Roman" w:eastAsia="Times New Roman" w:cs="Times New Roman"/>
          <w:color w:val="000000"/>
        </w:rPr>
        <w:t>Version 41 retains the corrected ten protein CSF synthesis and all five main figures from version 39, with the prose improvements from version 40. It adds Fc sensitivity tests, raw nerve reaggregation and source feasibility audits. Supplementary Figures 3 and 4 are new and are generated from the retained aggregate result tables. Earlier blood and genetic matrix processing was not repeated.</w:t>
      </w:r>
    </w:p>
    <w:p>
      <w:pPr/>
      <w:r>
        <w:rPr>
          <w:rFonts w:ascii="Times New Roman" w:hAnsi="Times New Roman" w:eastAsia="Times New Roman" w:cs="Times New Roman"/>
          <w:color w:val="000000"/>
        </w:rPr>
        <w:t>Figure 4A retains the previously verified localization-plot interior as a raster asset; its surrounding labels and all other figure text are generated by code. Supplementary Figure 1 was redrawn from the retained donor-bootstrap result table and displays all available cell groups. No new donor bootstrap analysis was run. Supplementary Figure 2 was redrawn from published aggregate counts and qualitative observations.</w:t>
      </w:r>
    </w:p>
    <w:p>
      <w:pPr/>
      <w:r>
        <w:rPr>
          <w:rFonts w:ascii="Times New Roman" w:hAnsi="Times New Roman" w:eastAsia="Times New Roman" w:cs="Times New Roman"/>
          <w:color w:val="000000"/>
        </w:rPr>
        <w:t>Original matrix-processing scripts remain available after downloading the required inputs. Recorded dependency specifications for the earlier pipeline and summary verification are retained with the v2.1.0 archive. Input_files and Data_reconstruction in Supplementary Data 1 distinguish public inputs, extracted published results and locally generated intermediate tables.</w:t>
      </w:r>
    </w:p>
    <w:p>
      <w:pPr>
        <w:pStyle w:val="Heading1"/>
      </w:pPr>
      <w:r>
        <w:rPr>
          <w:rFonts w:ascii="Times New Roman" w:hAnsi="Times New Roman" w:eastAsia="Times New Roman" w:cs="Times New Roman"/>
          <w:color w:val="000000"/>
        </w:rPr>
        <w:t>Data and code access</w:t>
      </w:r>
    </w:p>
    <w:p>
      <w:pPr/>
      <w:r>
        <w:rPr>
          <w:rFonts w:ascii="Times New Roman" w:hAnsi="Times New Roman" w:eastAsia="Times New Roman" w:cs="Times New Roman"/>
          <w:color w:val="000000"/>
        </w:rPr>
        <w:t>Repository: https://github.com/applepie567/gbs-cidp-blood-nerve-barrier</w:t>
      </w:r>
    </w:p>
    <w:p>
      <w:pPr/>
      <w:r>
        <w:rPr>
          <w:rFonts w:ascii="Times New Roman" w:hAnsi="Times New Roman" w:eastAsia="Times New Roman" w:cs="Times New Roman"/>
          <w:color w:val="000000"/>
        </w:rPr>
        <w:t>The public archive accompanying manuscript v41 is version 2.2.0 at https://doi.org/10.5281/zenodo.22636223. It contains the corrected CSF synthesis and new v41 sensitivity analyses. The repository is https://github.com/applepie567/gbs-cidp-blood-nerve-barrier. The preceding v2.1.0 records at https://doi.org/10.5281/zenodo.22561445 and https://doi.org/10.5281/zenodo.22563142 remain historical versions. The earlier v2.0.0 archive is https://doi.org/10.5281/zenodo.22226674.</w:t>
      </w:r>
    </w:p>
    <w:p>
      <w:pPr/>
      <w:r>
        <w:rPr>
          <w:rFonts w:ascii="Times New Roman" w:hAnsi="Times New Roman" w:eastAsia="Times New Roman" w:cs="Times New Roman"/>
          <w:color w:val="000000"/>
        </w:rPr>
        <w:t>Code is provided under the MIT license. The project-derived data tables and figures are covered by LICENSE-DATA. External source materials remain subject to their original terms and attribution requirements.</w:t>
      </w:r>
    </w:p>
    <w:p>
      <w:pPr>
        <w:pStyle w:val="Heading1"/>
      </w:pPr>
      <w:r>
        <w:rPr>
          <w:rFonts w:ascii="Times New Roman" w:hAnsi="Times New Roman" w:eastAsia="Times New Roman" w:cs="Times New Roman"/>
          <w:color w:val="000000"/>
        </w:rPr>
        <w:t>Original files and local reconstruction</w:t>
      </w:r>
    </w:p>
    <w:p>
      <w:pPr/>
      <w:r>
        <w:rPr>
          <w:rFonts w:ascii="Times New Roman" w:hAnsi="Times New Roman" w:eastAsia="Times New Roman" w:cs="Times New Roman"/>
          <w:color w:val="000000"/>
        </w:rPr>
        <w:t>For GSE285983, download GSE285983_RAW.tar and GSE285983_metadata_all.csv.gz using the links in Input_files. Extract the count archive into data/raw/GSE285983/h5/ and run analysis/01_cidp_nerve_pseudobulk.py. This script reads the public donor metadata locally and writes the targeted-expression, module-score and cell-fraction intermediates. The five selected CIDP module scores can then be pivoted into a donor-by-module table for the ten correlation tests.</w:t>
      </w:r>
    </w:p>
    <w:p>
      <w:pPr/>
      <w:r>
        <w:rPr>
          <w:rFonts w:ascii="Times New Roman" w:hAnsi="Times New Roman" w:eastAsia="Times New Roman" w:cs="Times New Roman"/>
          <w:color w:val="000000"/>
        </w:rPr>
        <w:t>Genetic localization uses nucleus-level log2(CP10k+1) expression summarized by donor and cell group, with detection proportions. The supplied genetic compilation and bootstrap scripts require the precomputed Genetic_donor_celltype table. Exact end-to-end reproduction of that component therefore requires the intermediate table or a separately implemented and validated reconstruction from the original inputs. The public workbook provides the resulting group-level summaries, contrasts and bootstrap intervals.</w:t>
      </w:r>
    </w:p>
    <w:p>
      <w:pPr/>
      <w:r>
        <w:rPr>
          <w:rFonts w:ascii="Times New Roman" w:hAnsi="Times New Roman" w:eastAsia="Times New Roman" w:cs="Times New Roman"/>
          <w:color w:val="000000"/>
        </w:rPr>
        <w:t>The donor worksheets excluded from the public aggregate workbook remain available for private author use. Missing original acquisition dates from the preceding archive have not been reconstructed. Files newly downloaded on 7 September 2026 have a separate manifest giving their actual acquisition date, source URL, byte count and SHA256 checksum. A source access check is not labelled as a file download.</w:t>
      </w:r>
    </w:p>
    <w:p>
      <w:pPr>
        <w:pStyle w:val="Heading1"/>
      </w:pPr>
      <w:r>
        <w:rPr>
          <w:rFonts w:ascii="Times New Roman" w:hAnsi="Times New Roman" w:eastAsia="Times New Roman" w:cs="Times New Roman"/>
          <w:color w:val="000000"/>
        </w:rPr>
        <w:t>Revision-specific reproduction</w:t>
      </w:r>
    </w:p>
    <w:p>
      <w:pPr/>
      <w:r>
        <w:rPr>
          <w:rFonts w:ascii="Times New Roman" w:hAnsi="Times New Roman" w:eastAsia="Times New Roman" w:cs="Times New Roman"/>
          <w:color w:val="000000"/>
        </w:rPr>
        <w:t>The retained analysis_update directory reproduces the corrected CSF calculations and earlier figures. The strengthening_v41 directory contains strengthen_fc.py, subtype_analysis.py and plot_strengthening.py, together with aggregate results, figure files, the exploratory analysis specification and source manifests. The private checkpoint can reproduce the refined analyses with the reuse checkpoint option. Full reconstruction requires the original matrices and metadata listed in the manifest. The original donor expression table is passed explicitly as the original results directory. No new genetic bootstrap analysis was run.</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compartmentalization across blood, cerebrospinal fluid and nerve in inflammatory neuropathies</dc:title>
  <dc:subject>Brain Communications original article; revised manuscript v39</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