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 w:cs="Times New Roman"/>
          <w:color w:val="000000"/>
        </w:rPr>
        <w:t>Table 1. Datasets and analytical roles</w:t>
      </w:r>
    </w:p>
    <w:tbl>
      <w:tblPr>
        <w:tblW w:type="dxa" w:w="14003"/>
        <w:tblLayout w:type="fixed"/>
        <w:tblLook w:firstColumn="1" w:firstRow="1" w:lastColumn="0" w:lastRow="0" w:noHBand="0" w:noVBand="1" w:val="04A0"/>
        <w:tblInd w:w="100" w:type="dxa"/>
      </w:tblPr>
      <w:tblGrid>
        <w:gridCol w:w="2100"/>
        <w:gridCol w:w="2600"/>
        <w:gridCol w:w="3600"/>
        <w:gridCol w:w="5703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Resource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Material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Participants or samples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Analytical role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GSE211225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Whole blood transcriptomics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 acute GBS, 10 postacute, 6 controls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Primary blood effects for individual participants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GSE31014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Leukocyte microarray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7 GBS, 7 controls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Independent assessment of blood effect direction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PRJNA1293757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PBMC single-cell RNA sequencing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 AIDP, 2 controls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Monocyte localization and assessment of effect direction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PXD002911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CSF proteomics and peptidomics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GBS (AIDP), MS and controls, with pooled discovery material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Published CSF identifications and functional annotations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GSE285983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Sural nerve single-nucleus RNA sequencing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9 CIDP, 11 CIAP in focused comparison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Donor gene module scores, cell fractions and expression localization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GSE107574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Human endoneurial endothelial transcriptomics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Cultured cells and microvessels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Published BNB context; no independent raw-data reanalysis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Kmezic et al. 2023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CSF Olink proteomics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Discovery: 6 GBS and 20 controls. Replication: 6 GBS and 6 controls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Synthesis of ten paired non-IL8 CSF coefficients from source Table 4B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PXD056286</w:t>
            </w:r>
          </w:p>
        </w:tc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Sural nerve histology and proteomics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55 biopsies from CIDP or its variants</w:t>
            </w:r>
          </w:p>
        </w:tc>
        <w:tc>
          <w:tcPr>
            <w:tcW w:type="dxa" w:w="5703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Published tissue observations and calculated Wilson interval</w:t>
            </w:r>
          </w:p>
        </w:tc>
      </w:tr>
    </w:tbl>
    <w:p>
      <w:pPr>
        <w:spacing w:line="288" w:lineRule="auto"/>
      </w:pPr>
      <w:r>
        <w:rPr>
          <w:rFonts w:ascii="Times New Roman" w:hAnsi="Times New Roman" w:eastAsia="Times New Roman" w:cs="Times New Roman"/>
          <w:color w:val="000000"/>
        </w:rPr>
        <w:t>GBS, Guillain–Barré syndrome; AIDP, acute inflammatory demyelinating polyradiculoneuropathy; CIDP, chronic inflammatory demyelinating polyradiculoneuropathy; CIAP, chronic idiopathic axonal polyneuropathy; CSF, cerebrospinal fluid; MS, multiple sclerosis; PBMC, peripheral blood mononuclear cell; BNB, blood–nerve barrier. Cohorts were independently sampled. Focused nerve sample sizes vary with cell-group eligibility.</w:t>
      </w:r>
    </w:p>
    <w:sectPr w:rsidR="00FC693F" w:rsidRPr="0006063C" w:rsidSect="00034616">
      <w:footerReference w:type="default" r:id="rId9"/>
      <w:pgSz w:w="16838" w:h="11906"/>
      <w:pgMar w:top="1417" w:right="1417" w:bottom="1417" w:left="1417" w:header="720" w:footer="720" w:gutter="0"/>
      <w:cols w:space="720"/>
      <w:docGrid w:linePitch="360"/>
      <w:lnNumType w:countBy="1" w:restart="continuous" w:distance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color w:val="00000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after="0" w:before="0"/>
      <w:ind w:firstLine="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0" w:line="48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0" w:line="48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0" w:line="480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48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480" w:lineRule="auto" w:after="0" w:before="0"/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480" w:lineRule="auto" w:after="0" w:before="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compartmentalization across blood, cerebrospinal fluid and nerve in inflammatory neuropathies</dc:title>
  <dc:subject>Brain Communications original article; revised manuscript v39</dc:subject>
  <dc:creator>Yuan Feng and co-authors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