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 w:cs="Times New Roman"/>
          <w:color w:val="000000"/>
        </w:rPr>
        <w:t>Table 2. Exploratory synthesis of acute GBS blood gene modules</w:t>
      </w:r>
    </w:p>
    <w:tbl>
      <w:tblPr>
        <w:tblW w:type="dxa" w:w="14003"/>
        <w:tblLayout w:type="fixed"/>
        <w:tblLook w:firstColumn="1" w:firstRow="1" w:lastColumn="0" w:lastRow="0" w:noHBand="0" w:noVBand="1" w:val="04A0"/>
        <w:tblInd w:w="100" w:type="dxa"/>
      </w:tblPr>
      <w:tblGrid>
        <w:gridCol w:w="4100"/>
        <w:gridCol w:w="1600"/>
        <w:gridCol w:w="1800"/>
        <w:gridCol w:w="1800"/>
        <w:gridCol w:w="2100"/>
        <w:gridCol w:w="1300"/>
        <w:gridCol w:w="1303"/>
      </w:tblGrid>
      <w:tr>
        <w:trPr>
          <w:tblHeader/>
          <w:cantSplit/>
        </w:trPr>
        <w:tc>
          <w:tcPr>
            <w:tcW w:type="dxa" w:w="41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6" w:color="000000"/>
              <w:bottom w:val="single" w:sz="6" w:color="000000"/>
            </w:tcBorders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Gene module</w:t>
            </w:r>
          </w:p>
        </w:tc>
        <w:tc>
          <w:tcPr>
            <w:tcW w:type="dxa" w:w="16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6" w:color="000000"/>
              <w:bottom w:val="single" w:sz="6" w:color="000000"/>
            </w:tcBorders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Summary Hedges g</w:t>
            </w:r>
          </w:p>
        </w:tc>
        <w:tc>
          <w:tcPr>
            <w:tcW w:type="dxa" w:w="18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6" w:color="000000"/>
              <w:bottom w:val="single" w:sz="6" w:color="000000"/>
            </w:tcBorders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95% CI lower</w:t>
            </w:r>
          </w:p>
        </w:tc>
        <w:tc>
          <w:tcPr>
            <w:tcW w:type="dxa" w:w="18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6" w:color="000000"/>
              <w:bottom w:val="single" w:sz="6" w:color="000000"/>
            </w:tcBorders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95% CI upper</w:t>
            </w:r>
          </w:p>
        </w:tc>
        <w:tc>
          <w:tcPr>
            <w:tcW w:type="dxa" w:w="21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6" w:color="000000"/>
              <w:bottom w:val="single" w:sz="6" w:color="000000"/>
            </w:tcBorders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Modified Hartung–Knapp P</w:t>
            </w:r>
          </w:p>
        </w:tc>
        <w:tc>
          <w:tcPr>
            <w:tcW w:type="dxa" w:w="13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6" w:color="000000"/>
              <w:bottom w:val="single" w:sz="6" w:color="000000"/>
            </w:tcBorders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I², %</w:t>
            </w:r>
          </w:p>
        </w:tc>
        <w:tc>
          <w:tcPr>
            <w:tcW w:type="dxa" w:w="130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6" w:color="000000"/>
              <w:bottom w:val="single" w:sz="6" w:color="000000"/>
            </w:tcBorders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Cohorts, n</w:t>
            </w:r>
          </w:p>
        </w:tc>
      </w:tr>
      <w:tr>
        <w:trPr>
          <w:cantSplit/>
        </w:trPr>
        <w:tc>
          <w:tcPr>
            <w:tcW w:type="dxa" w:w="41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CXCL8 signaling via CXCR1 and CXCR2</w:t>
            </w:r>
          </w:p>
        </w:tc>
        <w:tc>
          <w:tcPr>
            <w:tcW w:type="dxa" w:w="16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1.075</w:t>
            </w:r>
          </w:p>
        </w:tc>
        <w:tc>
          <w:tcPr>
            <w:tcW w:type="dxa" w:w="18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-0.634</w:t>
            </w:r>
          </w:p>
        </w:tc>
        <w:tc>
          <w:tcPr>
            <w:tcW w:type="dxa" w:w="18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2.785</w:t>
            </w:r>
          </w:p>
        </w:tc>
        <w:tc>
          <w:tcPr>
            <w:tcW w:type="dxa" w:w="21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0.114</w:t>
            </w:r>
          </w:p>
        </w:tc>
        <w:tc>
          <w:tcPr>
            <w:tcW w:type="dxa" w:w="13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0.0</w:t>
            </w:r>
          </w:p>
        </w:tc>
        <w:tc>
          <w:tcPr>
            <w:tcW w:type="dxa" w:w="1303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3</w:t>
            </w:r>
          </w:p>
        </w:tc>
      </w:tr>
      <w:tr>
        <w:trPr>
          <w:cantSplit/>
        </w:trPr>
        <w:tc>
          <w:tcPr>
            <w:tcW w:type="dxa" w:w="41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LIF and OSM signaling via gp130</w:t>
            </w:r>
          </w:p>
        </w:tc>
        <w:tc>
          <w:tcPr>
            <w:tcW w:type="dxa" w:w="16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0.271</w:t>
            </w:r>
          </w:p>
        </w:tc>
        <w:tc>
          <w:tcPr>
            <w:tcW w:type="dxa" w:w="18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-3.978</w:t>
            </w:r>
          </w:p>
        </w:tc>
        <w:tc>
          <w:tcPr>
            <w:tcW w:type="dxa" w:w="18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4.519</w:t>
            </w:r>
          </w:p>
        </w:tc>
        <w:tc>
          <w:tcPr>
            <w:tcW w:type="dxa" w:w="21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0.810</w:t>
            </w:r>
          </w:p>
        </w:tc>
        <w:tc>
          <w:tcPr>
            <w:tcW w:type="dxa" w:w="13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81.2</w:t>
            </w:r>
          </w:p>
        </w:tc>
        <w:tc>
          <w:tcPr>
            <w:tcW w:type="dxa" w:w="1303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3</w:t>
            </w:r>
          </w:p>
        </w:tc>
      </w:tr>
      <w:tr>
        <w:trPr>
          <w:cantSplit/>
        </w:trPr>
        <w:tc>
          <w:tcPr>
            <w:tcW w:type="dxa" w:w="41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Complement</w:t>
            </w:r>
          </w:p>
        </w:tc>
        <w:tc>
          <w:tcPr>
            <w:tcW w:type="dxa" w:w="16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1.111</w:t>
            </w:r>
          </w:p>
        </w:tc>
        <w:tc>
          <w:tcPr>
            <w:tcW w:type="dxa" w:w="18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-1.728</w:t>
            </w:r>
          </w:p>
        </w:tc>
        <w:tc>
          <w:tcPr>
            <w:tcW w:type="dxa" w:w="18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3.950</w:t>
            </w:r>
          </w:p>
        </w:tc>
        <w:tc>
          <w:tcPr>
            <w:tcW w:type="dxa" w:w="21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0.234</w:t>
            </w:r>
          </w:p>
        </w:tc>
        <w:tc>
          <w:tcPr>
            <w:tcW w:type="dxa" w:w="13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57.2</w:t>
            </w:r>
          </w:p>
        </w:tc>
        <w:tc>
          <w:tcPr>
            <w:tcW w:type="dxa" w:w="1303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3</w:t>
            </w:r>
          </w:p>
        </w:tc>
      </w:tr>
      <w:tr>
        <w:trPr>
          <w:cantSplit/>
        </w:trPr>
        <w:tc>
          <w:tcPr>
            <w:tcW w:type="dxa" w:w="41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Fc receptor</w:t>
            </w:r>
          </w:p>
        </w:tc>
        <w:tc>
          <w:tcPr>
            <w:tcW w:type="dxa" w:w="16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0.288</w:t>
            </w:r>
          </w:p>
        </w:tc>
        <w:tc>
          <w:tcPr>
            <w:tcW w:type="dxa" w:w="18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-5.510</w:t>
            </w:r>
          </w:p>
        </w:tc>
        <w:tc>
          <w:tcPr>
            <w:tcW w:type="dxa" w:w="18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6.086</w:t>
            </w:r>
          </w:p>
        </w:tc>
        <w:tc>
          <w:tcPr>
            <w:tcW w:type="dxa" w:w="21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0.851</w:t>
            </w:r>
          </w:p>
        </w:tc>
        <w:tc>
          <w:tcPr>
            <w:tcW w:type="dxa" w:w="13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72.7</w:t>
            </w:r>
          </w:p>
        </w:tc>
        <w:tc>
          <w:tcPr>
            <w:tcW w:type="dxa" w:w="1303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3</w:t>
            </w:r>
          </w:p>
        </w:tc>
      </w:tr>
      <w:tr>
        <w:trPr>
          <w:cantSplit/>
        </w:trPr>
        <w:tc>
          <w:tcPr>
            <w:tcW w:type="dxa" w:w="41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Transendothelial migration</w:t>
            </w:r>
          </w:p>
        </w:tc>
        <w:tc>
          <w:tcPr>
            <w:tcW w:type="dxa" w:w="16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0.694</w:t>
            </w:r>
          </w:p>
        </w:tc>
        <w:tc>
          <w:tcPr>
            <w:tcW w:type="dxa" w:w="18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-0.958</w:t>
            </w:r>
          </w:p>
        </w:tc>
        <w:tc>
          <w:tcPr>
            <w:tcW w:type="dxa" w:w="18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2.347</w:t>
            </w:r>
          </w:p>
        </w:tc>
        <w:tc>
          <w:tcPr>
            <w:tcW w:type="dxa" w:w="21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0.212</w:t>
            </w:r>
          </w:p>
        </w:tc>
        <w:tc>
          <w:tcPr>
            <w:tcW w:type="dxa" w:w="13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1.1</w:t>
            </w:r>
          </w:p>
        </w:tc>
        <w:tc>
          <w:tcPr>
            <w:tcW w:type="dxa" w:w="1303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3</w:t>
            </w:r>
          </w:p>
        </w:tc>
      </w:tr>
      <w:tr>
        <w:trPr>
          <w:cantSplit/>
        </w:trPr>
        <w:tc>
          <w:tcPr>
            <w:tcW w:type="dxa" w:w="41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Interferon signaling via JAK and STAT</w:t>
            </w:r>
          </w:p>
        </w:tc>
        <w:tc>
          <w:tcPr>
            <w:tcW w:type="dxa" w:w="16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0.677</w:t>
            </w:r>
          </w:p>
        </w:tc>
        <w:tc>
          <w:tcPr>
            <w:tcW w:type="dxa" w:w="18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-0.943</w:t>
            </w:r>
          </w:p>
        </w:tc>
        <w:tc>
          <w:tcPr>
            <w:tcW w:type="dxa" w:w="18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2.297</w:t>
            </w:r>
          </w:p>
        </w:tc>
        <w:tc>
          <w:tcPr>
            <w:tcW w:type="dxa" w:w="21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0.214</w:t>
            </w:r>
          </w:p>
        </w:tc>
        <w:tc>
          <w:tcPr>
            <w:tcW w:type="dxa" w:w="13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0.0</w:t>
            </w:r>
          </w:p>
        </w:tc>
        <w:tc>
          <w:tcPr>
            <w:tcW w:type="dxa" w:w="1303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3</w:t>
            </w:r>
          </w:p>
        </w:tc>
      </w:tr>
      <w:tr>
        <w:trPr>
          <w:cantSplit/>
        </w:trPr>
        <w:tc>
          <w:tcPr>
            <w:tcW w:type="dxa" w:w="41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bottom w:val="single" w:sz="6" w:color="000000"/>
            </w:tcBorders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Inflammatory monocyte</w:t>
            </w:r>
          </w:p>
        </w:tc>
        <w:tc>
          <w:tcPr>
            <w:tcW w:type="dxa" w:w="16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bottom w:val="single" w:sz="6" w:color="000000"/>
            </w:tcBorders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1.026</w:t>
            </w:r>
          </w:p>
        </w:tc>
        <w:tc>
          <w:tcPr>
            <w:tcW w:type="dxa" w:w="18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bottom w:val="single" w:sz="6" w:color="000000"/>
            </w:tcBorders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-1.702</w:t>
            </w:r>
          </w:p>
        </w:tc>
        <w:tc>
          <w:tcPr>
            <w:tcW w:type="dxa" w:w="18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bottom w:val="single" w:sz="6" w:color="000000"/>
            </w:tcBorders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3.754</w:t>
            </w:r>
          </w:p>
        </w:tc>
        <w:tc>
          <w:tcPr>
            <w:tcW w:type="dxa" w:w="21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bottom w:val="single" w:sz="6" w:color="000000"/>
            </w:tcBorders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0.247</w:t>
            </w:r>
          </w:p>
        </w:tc>
        <w:tc>
          <w:tcPr>
            <w:tcW w:type="dxa" w:w="13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bottom w:val="single" w:sz="6" w:color="000000"/>
            </w:tcBorders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49.5</w:t>
            </w:r>
          </w:p>
        </w:tc>
        <w:tc>
          <w:tcPr>
            <w:tcW w:type="dxa" w:w="1303"/>
            <w:tcMar>
              <w:top w:w="90" w:type="dxa"/>
              <w:left w:w="90" w:type="dxa"/>
              <w:bottom w:w="90" w:type="dxa"/>
              <w:right w:w="90" w:type="dxa"/>
            </w:tcMar>
            <w:tcBorders>
              <w:bottom w:val="single" w:sz="6" w:color="000000"/>
            </w:tcBorders>
          </w:tcPr>
          <w:p>
            <w:pPr>
              <w:spacing w:line="264" w:lineRule="auto" w:after="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3</w:t>
            </w:r>
          </w:p>
        </w:tc>
      </w:tr>
    </w:tbl>
    <w:p>
      <w:pPr>
        <w:spacing w:line="288" w:lineRule="auto"/>
      </w:pPr>
      <w:r>
        <w:rPr>
          <w:rFonts w:ascii="Times New Roman" w:hAnsi="Times New Roman" w:eastAsia="Times New Roman" w:cs="Times New Roman"/>
          <w:color w:val="000000"/>
        </w:rPr>
        <w:t>Positive Hedges g indicates a higher acute GBS score. Between-study variance used DerSimonian–Laird estimation; intervals and P values used the modified Hartung–Knapp procedure with residual scale bounded below by one. Each synthesis includes three cohorts. No pooled effect reaches P &lt; 0.05. CI, confidence interval.</w:t>
      </w:r>
    </w:p>
    <w:sectPr w:rsidR="00FC693F" w:rsidRPr="0006063C" w:rsidSect="00034616">
      <w:footerReference w:type="default" r:id="rId9"/>
      <w:pgSz w:w="16838" w:h="11906"/>
      <w:pgMar w:top="1417" w:right="1417" w:bottom="1417" w:left="1417" w:header="720" w:footer="720" w:gutter="0"/>
      <w:cols w:space="720"/>
      <w:docGrid w:linePitch="360"/>
      <w:lnNumType w:countBy="1" w:restart="continuous" w:distance="2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 w:eastAsia="Times New Roman" w:cs="Times New Roman"/>
          <w:color w:val="00000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eastAsia="Times New Roman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eastAsia="Times New Roman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eastAsia="Times New Roman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eastAsia="Times New Roman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480" w:lineRule="auto" w:after="0" w:before="0"/>
      <w:ind w:firstLine="0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0" w:line="480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0" w:line="480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0" w:line="480" w:lineRule="auto"/>
      <w:outlineLvl w:val="2"/>
    </w:pPr>
    <w:rPr>
      <w:rFonts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0" w:line="480" w:lineRule="auto" w:before="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480" w:lineRule="auto" w:after="0" w:before="0"/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480" w:lineRule="auto" w:after="0" w:before="0"/>
    </w:pPr>
    <w:rPr>
      <w:rFonts w:ascii="Times New Roman" w:hAnsi="Times New Roman" w:eastAsia="Times New Roman" w:cs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Immune compartmentalization across blood, cerebrospinal fluid and nerve in inflammatory neuropathies</dc:title>
  <dc:subject>Brain Communications original article; revised manuscript v39</dc:subject>
  <dc:creator>Yuan Feng and co-authors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