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 w:cs="Times New Roman"/>
          <w:color w:val="000000"/>
        </w:rPr>
        <w:t>Table 3. Descriptive evidence map across blood, CSF and peripheral nerve</w:t>
      </w:r>
    </w:p>
    <w:tbl>
      <w:tblPr>
        <w:tblW w:type="dxa" w:w="14003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3600"/>
        <w:gridCol w:w="2900"/>
        <w:gridCol w:w="3100"/>
        <w:gridCol w:w="2603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Program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Blood evidence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CSF evidence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Peripheral nerve evidence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6" w:color="000000"/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Interpretation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CXCL8 recruitment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Positive in 3 cohorts; pooled P = 0.114; whole-blood q &lt; 0.05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innate immune and inflammatory protein findings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Myeloid localization and endothelial trafficking context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Shared recruitment hypothesis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Complement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Positive in 3 cohorts; pooled P = 0.234; whole-blood q &lt; 0.01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complement protein findings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Macrophage localization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Complement-related evidence; amplification remains a hypothesis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Fc receptor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Whole blood q &lt; 0.05, with mixed directions across cohorts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Not directly evaluated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Macrophage q = 0.0087 within eight modules and q = 0.087 across 80 nerve comparisons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Exploratory association. Attenuated after composition adjustment.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Interferon response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Whole blood q &lt; 0.05, with mixed directions across cohorts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evidence of antiviral defense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Macrophage, endothelial and Schwann cell states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Response varies by compartment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Endothelial adhesion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Positive blood direction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Not directly evaluated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ICAM1 and VCAM1 localization to BNB endothelial cells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/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Endothelial context for functional study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Schwann repair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Not evaluated</w:t>
            </w:r>
          </w:p>
        </w:tc>
        <w:tc>
          <w:tcPr>
            <w:tcW w:type="dxa" w:w="29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Published evidence of axonal domain peptide degradation</w:t>
            </w:r>
          </w:p>
        </w:tc>
        <w:tc>
          <w:tcPr>
            <w:tcW w:type="dxa" w:w="31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Repair and stress programs localized to Schwann cells</w:t>
            </w:r>
          </w:p>
        </w:tc>
        <w:tc>
          <w:tcPr>
            <w:tcW w:type="dxa" w:w="2603"/>
            <w:tcMar>
              <w:top w:w="90" w:type="dxa"/>
              <w:left w:w="90" w:type="dxa"/>
              <w:bottom w:w="90" w:type="dxa"/>
              <w:right w:w="90" w:type="dxa"/>
            </w:tcMar>
            <w:tcBorders>
              <w:bottom w:val="single" w:sz="6" w:color="000000"/>
            </w:tcBorders>
          </w:tcPr>
          <w:p>
            <w:pPr>
              <w:spacing w:line="264" w:lineRule="auto" w:after="6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Proposed link between structural injury and repair</w:t>
            </w:r>
          </w:p>
        </w:tc>
      </w:tr>
    </w:tbl>
    <w:p>
      <w:pPr>
        <w:spacing w:line="288" w:lineRule="auto"/>
      </w:pPr>
      <w:r>
        <w:rPr>
          <w:rFonts w:ascii="Times New Roman" w:hAnsi="Times New Roman" w:eastAsia="Times New Roman" w:cs="Times New Roman"/>
          <w:color w:val="000000"/>
        </w:rPr>
        <w:t>q denotes the Benjamini–Hochberg-adjusted P value within the specified testing family. Blood comparisons concern acute GBS versus controls; the nerve comparison concerns CIDP versus CIAP. This map does not constitute a direct paired comparison between compartments or a test of causal mediation.</w:t>
      </w:r>
    </w:p>
    <w:sectPr w:rsidR="00FC693F" w:rsidRPr="0006063C" w:rsidSect="00034616">
      <w:footerReference w:type="default" r:id="rId9"/>
      <w:pgSz w:w="16838" w:h="11906"/>
      <w:pgMar w:top="1417" w:right="1417" w:bottom="1417" w:left="1417" w:header="720" w:footer="720" w:gutter="0"/>
      <w:cols w:space="720"/>
      <w:docGrid w:linePitch="360"/>
      <w:lnNumType w:countBy="1" w:restart="continuous" w:distance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color w:val="00000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0" w:before="0"/>
      <w:ind w:firstLine="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0" w:line="48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0" w:line="480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48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480" w:lineRule="auto" w:after="0" w:before="0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480" w:lineRule="auto" w:after="0" w:before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compartmentalization across blood, cerebrospinal fluid and nerve in inflammatory neuropathies</dc:title>
  <dc:subject>Brain Communications original article; revised manuscript v39</dc:subject>
  <dc:creator>Yuan Feng and co-authors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