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spacing w:line="276" w:lineRule="auto" w:before="0" w:after="120"/>
      </w:pPr>
      <w:r>
        <w:rPr>
          <w:rFonts w:ascii="Times New Roman" w:hAnsi="Times New Roman"/>
          <w:b/>
          <w:color w:val="000000"/>
          <w:sz w:val="28"/>
        </w:rPr>
        <w:t>Additional file 2. Supplementary methods</w:t>
      </w:r>
    </w:p>
    <w:p>
      <w:pPr>
        <w:keepNext w:val="0"/>
        <w:widowControl/>
        <w:spacing w:line="276" w:lineRule="auto" w:before="0" w:after="120"/>
      </w:pPr>
      <w:r>
        <w:rPr>
          <w:rFonts w:ascii="Times New Roman" w:hAnsi="Times New Roman"/>
          <w:b w:val="0"/>
          <w:color w:val="000000"/>
          <w:sz w:val="22"/>
        </w:rPr>
        <w:t>Immune gene and protein profiles across blood, cerebrospinal fluid and peripheral nerve in inflammatory neuropathies</w:t>
      </w:r>
    </w:p>
    <w:p>
      <w:pPr>
        <w:keepNext/>
        <w:widowControl/>
        <w:spacing w:line="276" w:lineRule="auto" w:before="160" w:after="120"/>
      </w:pPr>
      <w:r>
        <w:rPr>
          <w:rFonts w:ascii="Times New Roman" w:hAnsi="Times New Roman"/>
          <w:b/>
          <w:color w:val="000000"/>
          <w:sz w:val="24"/>
        </w:rPr>
        <w:t>Purpose and evidence attribution</w:t>
      </w:r>
    </w:p>
    <w:p>
      <w:pPr>
        <w:keepNext w:val="0"/>
        <w:widowControl/>
        <w:spacing w:line="276" w:lineRule="auto" w:before="0" w:after="120"/>
      </w:pPr>
      <w:r>
        <w:rPr>
          <w:rFonts w:ascii="Times New Roman" w:hAnsi="Times New Roman"/>
          <w:b w:val="0"/>
          <w:color w:val="000000"/>
          <w:sz w:val="22"/>
        </w:rPr>
        <w:t>This appendix documents the statistical procedures and source attribution for the current manuscript. The study combines reanalysis of public transcriptomic resources with synthesis of published CSF protein estimates and localisation of published genetic candidates. These components have different inferential units and are identified separately in the figure and table index in Additional file 1.</w:t>
      </w:r>
    </w:p>
    <w:p>
      <w:pPr>
        <w:keepNext w:val="0"/>
        <w:widowControl/>
        <w:spacing w:line="276" w:lineRule="auto" w:before="0" w:after="120"/>
      </w:pPr>
      <w:r>
        <w:rPr>
          <w:rFonts w:ascii="Times New Roman" w:hAnsi="Times New Roman"/>
          <w:b w:val="0"/>
          <w:color w:val="000000"/>
          <w:sz w:val="22"/>
        </w:rPr>
        <w:t>Additional file 1 contains aggregate results, source documentation, gene coverage, donor design summaries and complete sensitivity analyses. Additional file 4 supplies the new exploratory extension scripts and their inputs. Original donor expression matrices and full donor metadata are not redistributed. Anonymous score and disability coordinates required for Figure 5 are included without sample identifiers, age, sex or centre. Reproduction from the source matrices is described below.</w:t>
      </w:r>
    </w:p>
    <w:p>
      <w:pPr>
        <w:keepNext/>
        <w:widowControl/>
        <w:spacing w:line="276" w:lineRule="auto" w:before="160" w:after="120"/>
      </w:pPr>
      <w:r>
        <w:rPr>
          <w:rFonts w:ascii="Times New Roman" w:hAnsi="Times New Roman"/>
          <w:b/>
          <w:color w:val="000000"/>
          <w:sz w:val="24"/>
        </w:rPr>
        <w:t>Blood cohorts and cross-cohort synthesis</w:t>
      </w:r>
    </w:p>
    <w:p>
      <w:pPr>
        <w:keepNext w:val="0"/>
        <w:widowControl/>
        <w:spacing w:line="276" w:lineRule="auto" w:before="0" w:after="120"/>
      </w:pPr>
      <w:r>
        <w:rPr>
          <w:rFonts w:ascii="Times New Roman" w:hAnsi="Times New Roman"/>
          <w:b w:val="0"/>
          <w:color w:val="000000"/>
          <w:sz w:val="22"/>
        </w:rPr>
        <w:t>GSE211225 contains six acute, ten postacute and six control whole blood profiles. GSE31014 contributes seven GBS and seven control leukocyte profiles. PRJNA1293757 contributes PBMC data from three untreated patients with AIDP and two controls. Cells were retained if they had 200 to 6000 detected genes, at least 500 counts and a mitochondrial count fraction below 20%. Each retained cell was assigned to the lineage with the highest mean log1p(CP10k) expression across available marker genes. Competing lineage marker panels are specified in the analysis scripts. Monocyte counts were summed by donor and transformed as log2(CPM + 0.5) for module analysis.</w:t>
      </w:r>
    </w:p>
    <w:p>
      <w:pPr>
        <w:keepNext w:val="0"/>
        <w:widowControl/>
        <w:spacing w:line="276" w:lineRule="auto" w:before="0" w:after="120"/>
      </w:pPr>
      <w:r>
        <w:rPr>
          <w:rFonts w:ascii="Times New Roman" w:hAnsi="Times New Roman"/>
          <w:b w:val="0"/>
          <w:color w:val="000000"/>
          <w:sz w:val="22"/>
        </w:rPr>
        <w:t>Seven script-defined gene modules were evaluated within each blood cohort. Cohort effects used Hedges g and exact label permutation tests of mean score differences. Benjamini–Hochberg correction covered seven modules within each comparison. Acute versus postacute inferential results were omitted from the current manuscript because cross-phase donor independence could not be verified from the archived design.</w:t>
      </w:r>
    </w:p>
    <w:p>
      <w:pPr>
        <w:keepNext w:val="0"/>
        <w:widowControl/>
        <w:spacing w:line="276" w:lineRule="auto" w:before="0" w:after="120"/>
      </w:pPr>
      <w:r>
        <w:rPr>
          <w:rFonts w:ascii="Times New Roman" w:hAnsi="Times New Roman"/>
          <w:b w:val="0"/>
          <w:color w:val="000000"/>
          <w:sz w:val="22"/>
        </w:rPr>
        <w:t>The blood synthesis uses inverse variance weighting with the DerSimonian and Laird estimate of variance between studies. Modified Hartung–Knapp intervals use a residual variance scale bounded below by one and a t distribution with k minus one degrees of freedom. Omission analyses retain two cohorts and assess direction. All seven full blood synthesis intervals include zero.</w:t>
      </w:r>
    </w:p>
    <w:p>
      <w:pPr>
        <w:keepNext/>
        <w:widowControl/>
        <w:spacing w:line="276" w:lineRule="auto" w:before="160" w:after="120"/>
      </w:pPr>
      <w:r>
        <w:rPr>
          <w:rFonts w:ascii="Times New Roman" w:hAnsi="Times New Roman"/>
          <w:b/>
          <w:color w:val="000000"/>
          <w:sz w:val="24"/>
        </w:rPr>
        <w:t>Peripheral nerve analyses</w:t>
      </w:r>
    </w:p>
    <w:p>
      <w:pPr>
        <w:keepNext w:val="0"/>
        <w:widowControl/>
        <w:spacing w:line="276" w:lineRule="auto" w:before="0" w:after="120"/>
      </w:pPr>
      <w:r>
        <w:rPr>
          <w:rFonts w:ascii="Times New Roman" w:hAnsi="Times New Roman"/>
          <w:b w:val="0"/>
          <w:color w:val="000000"/>
          <w:sz w:val="22"/>
        </w:rPr>
        <w:t>GSE285983 provides sural nerve single nucleus data. The principal comparison includes nine CIDP and eleven CIAP donors, with eligible donor counts varying by cell group. Counts are summed for each donor and annotated cell group. Groups containing at least 20 nuclei per donor contribute to targeted pseudobulk comparisons. Expression values are transformed as log2(CPM + 0.5).</w:t>
      </w:r>
    </w:p>
    <w:p>
      <w:pPr>
        <w:keepNext w:val="0"/>
        <w:widowControl/>
        <w:spacing w:line="276" w:lineRule="auto" w:before="0" w:after="120"/>
      </w:pPr>
      <w:r>
        <w:rPr>
          <w:rFonts w:ascii="Times New Roman" w:hAnsi="Times New Roman"/>
          <w:b w:val="0"/>
          <w:color w:val="000000"/>
          <w:sz w:val="22"/>
        </w:rPr>
        <w:t>Within each cell group, genes are standardised across eligible donors from all diagnoses. Gene module scores are means of available standardised genes. CIDP and CIAP comparisons use two-sided Mann–Whitney U tests with correction across eight modules within each cell group. Broader correction across all 80 eligible nerve module comparisons is also reported.</w:t>
      </w:r>
    </w:p>
    <w:p>
      <w:pPr>
        <w:keepNext w:val="0"/>
        <w:widowControl/>
        <w:spacing w:line="276" w:lineRule="auto" w:before="0" w:after="120"/>
      </w:pPr>
      <w:r>
        <w:rPr>
          <w:rFonts w:ascii="Times New Roman" w:hAnsi="Times New Roman"/>
          <w:b w:val="0"/>
          <w:color w:val="000000"/>
          <w:sz w:val="22"/>
        </w:rPr>
        <w:t>The macrophage Fc receptor module contained 11 measured genes because FCGR2C was absent from the expression matrix. Sensitivity analyses included demographic adjustment, sex restriction, centre-preserving permutation, donor omission, gene omission and alternative macrophage annotations.</w:t>
      </w:r>
    </w:p>
    <w:p>
      <w:pPr>
        <w:keepNext/>
        <w:widowControl/>
        <w:spacing w:line="276" w:lineRule="auto" w:before="160" w:after="120"/>
      </w:pPr>
      <w:r>
        <w:rPr>
          <w:rFonts w:ascii="Times New Roman" w:hAnsi="Times New Roman"/>
          <w:b/>
          <w:color w:val="000000"/>
          <w:sz w:val="24"/>
        </w:rPr>
        <w:t>Refined annotation and composition</w:t>
      </w:r>
    </w:p>
    <w:p>
      <w:pPr>
        <w:keepNext w:val="0"/>
        <w:widowControl/>
        <w:spacing w:line="276" w:lineRule="auto" w:before="0" w:after="120"/>
      </w:pPr>
      <w:r>
        <w:rPr>
          <w:rFonts w:ascii="Times New Roman" w:hAnsi="Times New Roman"/>
          <w:b w:val="0"/>
          <w:color w:val="000000"/>
          <w:sz w:val="22"/>
        </w:rPr>
        <w:t>Original and refined macrophage annotations represent different classification levels and were not directly interchanged. Barcode joins retained the original macrophage nuclei. Fractions were calculated at donor level and corrected across tested categories.</w:t>
      </w:r>
    </w:p>
    <w:p>
      <w:pPr>
        <w:keepNext w:val="0"/>
        <w:widowControl/>
        <w:spacing w:line="276" w:lineRule="auto" w:before="0" w:after="120"/>
      </w:pPr>
      <w:r>
        <w:rPr>
          <w:rFonts w:ascii="Times New Roman" w:hAnsi="Times New Roman"/>
          <w:b w:val="0"/>
          <w:color w:val="000000"/>
          <w:sz w:val="22"/>
        </w:rPr>
        <w:t>Composition models used centred log-ratio transformation after adding a pseudocount of 0.5 to category counts. Principal components were calculated without disease labels and incorporated into sensitivity models together with age and centre.</w:t>
      </w:r>
    </w:p>
    <w:p>
      <w:pPr>
        <w:keepNext/>
        <w:widowControl/>
        <w:spacing w:line="276" w:lineRule="auto" w:before="160" w:after="120"/>
      </w:pPr>
      <w:r>
        <w:rPr>
          <w:rFonts w:ascii="Times New Roman" w:hAnsi="Times New Roman"/>
          <w:b/>
          <w:color w:val="000000"/>
          <w:sz w:val="24"/>
          <w:highlight w:val="yellow"/>
        </w:rPr>
        <w:t xml:space="preserve">Focused Fc reference comparisons</w:t>
      </w:r>
    </w:p>
    <w:p>
      <w:pPr>
        <w:keepNext w:val="0"/>
        <w:widowControl/>
        <w:spacing w:line="276" w:lineRule="auto" w:before="0" w:after="120"/>
      </w:pPr>
      <w:r>
        <w:rPr>
          <w:rFonts w:ascii="Times New Roman" w:hAnsi="Times New Roman"/>
          <w:b w:val="0"/>
          <w:color w:val="000000"/>
          <w:sz w:val="22"/>
          <w:highlight w:val="yellow"/>
        </w:rPr>
        <w:t xml:space="preserve">The original 11 gene macrophage score was reconstructed using the same standardisation across all 37 atlas donors. CIDP and CIAP were compared separately with four donors providing residual sural nerve autograft tissue from surgery for traumatic nerve injury. These reference donors belonged to the same atlas. Two sided exact Mann and Whitney tests were corrected across the two reference comparisons. Mean difference intervals used 20,000 donor bootstrap replicates with independent resampling within groups, fixed score standardisation and seed 20260921. The CIDP versus reference contrast was present in the original pipeline and was reexamined in this follow up.</w:t>
      </w:r>
    </w:p>
    <w:p>
      <w:pPr>
        <w:keepNext w:val="0"/>
        <w:widowControl/>
        <w:spacing w:line="276" w:lineRule="auto" w:before="0" w:after="120"/>
      </w:pPr>
      <w:r>
        <w:rPr>
          <w:rFonts w:ascii="Times New Roman" w:hAnsi="Times New Roman"/>
          <w:b w:val="0"/>
          <w:color w:val="000000"/>
          <w:sz w:val="22"/>
          <w:highlight w:val="yellow"/>
        </w:rPr>
        <w:t xml:space="preserve">The two reference tests were added to the original 80 module and nine functional programme tests to form a 91 test sensitivity family. Earlier 80 and 89 test results remain available. Full cohort direct standardisation of refined macrophage states required at least 20 nuclei for each subtype in every disease donor. None of the 18 refined subtypes met this requirement, so missing subtype expression was not imputed.</w:t>
      </w:r>
    </w:p>
    <w:p>
      <w:pPr>
        <w:pStyle w:val="Heading1"/>
        <w:keepNext/>
        <w:widowControl/>
        <w:spacing w:line="276" w:lineRule="auto" w:before="160" w:after="120"/>
      </w:pPr>
      <w:r>
        <w:rPr>
          <w:rFonts w:ascii="Times New Roman" w:hAnsi="Times New Roman"/>
          <w:b/>
          <w:color w:val="000000"/>
          <w:sz w:val="24"/>
        </w:rPr>
        <w:t>Exploratory separation of nerve programmes</w:t>
      </w:r>
    </w:p>
    <w:p>
      <w:pPr>
        <w:keepNext w:val="0"/>
        <w:widowControl/>
        <w:spacing w:line="276" w:lineRule="auto" w:before="0" w:after="120"/>
      </w:pPr>
      <w:r>
        <w:rPr>
          <w:rFonts w:ascii="Times New Roman" w:hAnsi="Times New Roman"/>
          <w:b w:val="0"/>
          <w:color w:val="000000"/>
          <w:sz w:val="22"/>
        </w:rPr>
        <w:t>The extension was motivated by inspection of the original BNB and combined Schwann cell scores. Its gene sets were fixed before calculating extension results and were not selected from differential expression rankings. The dated analysis plan records this sequence. The endothelial junction set contains CLDN5, OCLN, TJP1 and CDH5. The transport set contains ABCB1, SLC1A1 and MFSD2A. The inflammatory adhesion set contains ICAM1, VCAM1, SELE and SELP. The Schwann cell myelin maintenance set contains MPZ, MBP, PRX, EGR2, PMP22 and MAG. The injury response set contains NGFR, ATF3, JUN, FOS, GDNF and RUNX2. SOX10 and S100B were retained as lineage references and were excluded from these functional summaries. These selected sets summarise transcripts and are not validated measurements of permeability, transport flux or repair activity.</w:t>
      </w:r>
    </w:p>
    <w:p>
      <w:pPr>
        <w:keepNext w:val="0"/>
        <w:widowControl/>
        <w:spacing w:line="276" w:lineRule="auto" w:before="0" w:after="120"/>
      </w:pPr>
      <w:r>
        <w:rPr>
          <w:rFonts w:ascii="Times New Roman" w:hAnsi="Times New Roman"/>
          <w:b w:val="0"/>
          <w:color w:val="000000"/>
          <w:sz w:val="22"/>
        </w:rPr>
        <w:t>Twenty original CellBender count matrices were reaggregated by barcode using the source metadata. The endothelial analysis used ven_capEC2. Schwann cell analyses used mySC, nmSC and the union of repairSC and damageSC. A donor group required at least 20 nuclei. There were nine CIDP donors in every new contrast, with 11 CIAP donors in endothelium and nonmyelinating Schwann cells and ten CIAP donors in myelinating and pooled repair and damage Schwann cells. The two excluded CIAP groups contained zero and four nuclei, respectively. Whole library counts across all 36,387 genes formed the CPM denominator. Each available variable gene was transformed as log2(CPM + 0.5), standardised across eligible CIDP and CIAP donors using the sample standard deviation, and averaged within its gene set. All specified genes were measured and variable. Gene coverage and detection counts are reported completely.</w:t>
      </w:r>
    </w:p>
    <w:p>
      <w:pPr>
        <w:keepNext w:val="0"/>
        <w:widowControl/>
        <w:spacing w:line="276" w:lineRule="auto" w:before="0" w:after="120"/>
      </w:pPr>
      <w:r>
        <w:rPr>
          <w:rFonts w:ascii="Times New Roman" w:hAnsi="Times New Roman"/>
          <w:b w:val="0"/>
          <w:color w:val="000000"/>
          <w:sz w:val="22"/>
        </w:rPr>
        <w:t>The three endothelial and six Schwann cell contrasts form a nine test family. Unadjusted P values use two sided Mann and Whitney tests. The displayed mean score differences and their HC3 confidence intervals come from separate ordinary least squares models with residual degrees of freedom. These intervals do not correspond to the rank tests used for q values. Age and centre adjusted HC3 models form a separate nine test sensitivity family. In the pooled repair and damage Schwann cell group, the fraction of nuclei annotated as repairSC was added to the age and centre model, with correction across its two programme tests. All models treat donors as independent observations. No adjustment can eliminate unmeasured treatment or clinical confounding in this small cohort.</w:t>
      </w:r>
    </w:p>
    <w:p>
      <w:pPr>
        <w:keepNext w:val="0"/>
        <w:widowControl/>
        <w:spacing w:line="276" w:lineRule="auto" w:before="0" w:after="120"/>
      </w:pPr>
      <w:r>
        <w:rPr>
          <w:rFonts w:ascii="Times New Roman" w:hAnsi="Times New Roman"/>
          <w:b w:val="0"/>
          <w:color w:val="000000"/>
          <w:sz w:val="22"/>
          <w:highlight w:val="yellow"/>
        </w:rPr>
        <w:t xml:space="preserve">An expanded sensitivity family combines the original 80 rank test P values with the nine new rank test P values. Both the original family q values and the expanded 89 test q values are retained. The subsequent 91 test family adds the two focused Fc reference comparisons described above. The new functional scores standardise genes only across eligible CIDP and CIAP donors, whereas the original broad modules standardised across eligible donors from all diagnoses. They therefore have distinct scales and do not replace one another. As a processing check, the reconstruction reproduced the archived macrophage Fc result under the corresponding 20 donor standardisation and matched all 11 Fc component gene differences to an absolute tolerance below 1.1 × 10⁻¹⁵.</w:t>
      </w:r>
    </w:p>
    <w:p>
      <w:pPr>
        <w:keepNext w:val="0"/>
        <w:widowControl/>
        <w:spacing w:line="276" w:lineRule="auto" w:before="0" w:after="120"/>
      </w:pPr>
      <w:r>
        <w:rPr>
          <w:rFonts w:ascii="Times New Roman" w:hAnsi="Times New Roman"/>
          <w:b w:val="0"/>
          <w:color w:val="000000"/>
          <w:sz w:val="22"/>
        </w:rPr>
        <w:t>For clinical exploration, the two separated Schwann cell scores were correlated with INCAT among nine CIDP donors in the pooled repair and damage group. Exact two sided P values enumerated all 9! assignments of INCAT ranks, preserving tied values and their multiplicities. The observed absolute correlation was compared with every permuted absolute correlation, including the observed assignment. Correction across the two new exact tests was reported alongside an expanded 17 test calculation combining those exact P values with the 15 archived asymptotic Spearman P values. This mixed calculation is explicitly a multiplicity sensitivity. The unmodified original tests remain available. Exact testing and omission checks were added after inspecting the initial extension correlations. Omitting each donor in turn assesses internal influence and is not independent replication.</w:t>
      </w:r>
    </w:p>
    <w:p>
      <w:pPr>
        <w:keepNext w:val="0"/>
        <w:widowControl/>
        <w:spacing w:line="276" w:lineRule="auto" w:before="0" w:after="120"/>
      </w:pPr>
      <w:r>
        <w:rPr>
          <w:rFonts w:ascii="Times New Roman" w:hAnsi="Times New Roman"/>
          <w:b w:val="0"/>
          <w:color w:val="000000"/>
          <w:sz w:val="22"/>
        </w:rPr>
        <w:t>The normal BNB reference was re-extracted from GSE107574_fpkm_gene_expression_values.xlsx.gz. All 11 selected endothelial genes were retained in both cultured endothelial preparations and all four laser captured normal nerve preparations. FPKM values were reported without case control testing, and Figure S7 displays log2(FPKM + 1). Culture passages and tissue preparations were not counted as six independent patients. Detection in this dataset supports anatomical expression only and cannot replicate a CIDP associated change.</w:t>
      </w:r>
    </w:p>
    <w:p>
      <w:pPr>
        <w:keepNext/>
        <w:widowControl/>
        <w:spacing w:line="276" w:lineRule="auto" w:before="160" w:after="120"/>
      </w:pPr>
      <w:r>
        <w:rPr>
          <w:rFonts w:ascii="Times New Roman" w:hAnsi="Times New Roman"/>
          <w:b/>
          <w:color w:val="000000"/>
          <w:sz w:val="24"/>
        </w:rPr>
        <w:t>CSF protein synthesis</w:t>
      </w:r>
    </w:p>
    <w:p>
      <w:pPr>
        <w:keepNext w:val="0"/>
        <w:widowControl/>
        <w:spacing w:line="276" w:lineRule="auto" w:before="0" w:after="120"/>
      </w:pPr>
      <w:r>
        <w:rPr>
          <w:rFonts w:ascii="Times New Roman" w:hAnsi="Times New Roman"/>
          <w:b w:val="0"/>
          <w:color w:val="000000"/>
          <w:sz w:val="22"/>
        </w:rPr>
        <w:t>All age, sex and CCL19 adjusted CSF coefficients printed in source Tables 3 and 4B of Kmezic et al. were extracted for GBS versus healthy controls. Fifteen distinct proteins were represented. Eleven had coefficients and standard errors in both cohorts and entered synthesis, including IL8 from Table 3. CD4, MMP7 and IL3RA lacked a replication estimate, while ITGAM lacked a discovery estimate. Their absence was attributed to the source study’s call rate requirement of at least 60%. Missing values were recorded without imputation. All eligible paired proteins were included irrespective of direction or significance. The coefficients are on the log2 NPX scale. The discovery comparison comprised six GBS and 20 healthy participants, and the replication comparison comprised six GBS and six healthy participants.</w:t>
      </w:r>
    </w:p>
    <w:p>
      <w:pPr>
        <w:keepNext w:val="0"/>
        <w:widowControl/>
        <w:spacing w:line="276" w:lineRule="auto" w:before="0" w:after="120"/>
      </w:pPr>
      <w:r>
        <w:rPr>
          <w:rFonts w:ascii="Times New Roman" w:hAnsi="Times New Roman"/>
          <w:b w:val="0"/>
          <w:color w:val="000000"/>
          <w:sz w:val="22"/>
        </w:rPr>
        <w:t>Fixed effect estimates use inverse squared standard errors as weights. Their standard errors equal the square root of the inverse weight sum. Normal approximation intervals use the 0.975 standard normal quantile. DerSimonian and Laird variance estimates are bounded below by zero. Random effects weights equal the inverse of within cohort variance plus estimated variance between cohorts. Q and I² describe heterogeneity. Modified Hartung–Knapp intervals use the random effects estimate, its residual variance scale bounded below by one, and a t distribution with one degree of freedom. Benjamini and Hochberg correction is reported separately across the 11 fixed effect, 11 normal approximation random effects and 11 modified Hartung–Knapp tests. These are sensitivity analyses of the same selected protein set. Native source regression P and q values are retained separately and need not agree with intervals reconstructed using a normal approximation.</w:t>
      </w:r>
    </w:p>
    <w:p>
      <w:pPr>
        <w:keepNext w:val="0"/>
        <w:widowControl/>
        <w:spacing w:line="276" w:lineRule="auto" w:before="0" w:after="120"/>
      </w:pPr>
      <w:r>
        <w:rPr>
          <w:rFonts w:ascii="Times New Roman" w:hAnsi="Times New Roman"/>
          <w:b w:val="0"/>
          <w:color w:val="000000"/>
          <w:sz w:val="22"/>
        </w:rPr>
        <w:t>Direct disease comparisons comprise all ten adjusted GBS versus CIDP and all six adjusted CIDP versus healthy control coefficients printed in Tables 3, 5 and 6. IL8 was in Table 3, nine other GBS versus CIDP proteins were in Table 5, and five other CIDP versus control proteins were in Table 6. Each contrast involved six participants per group in the same replication cohort. The original source P and q values are displayed rather than recalculated. Normal approximation intervals in Figure 3C and D serve only to visualise the printed coefficients and standard errors. Shared participants prevent treating these comparisons as additional independent studies. The complete extraction also retains the other printed Table 3 CSF contrasts for documentation.</w:t>
      </w:r>
    </w:p>
    <w:p>
      <w:pPr>
        <w:keepNext w:val="0"/>
        <w:widowControl/>
        <w:spacing w:line="276" w:lineRule="auto" w:before="0" w:after="120"/>
      </w:pPr>
      <w:r>
        <w:rPr>
          <w:rFonts w:ascii="Times New Roman" w:hAnsi="Times New Roman"/>
          <w:b w:val="0"/>
          <w:color w:val="000000"/>
          <w:sz w:val="22"/>
        </w:rPr>
        <w:t>Protein and peptide identifications from PXD002911 and additional reports were summarised descriptively. Identification counts were not interpreted as evidence of increased protein concentration.</w:t>
      </w:r>
    </w:p>
    <w:p>
      <w:pPr>
        <w:keepNext/>
        <w:widowControl/>
        <w:spacing w:line="276" w:lineRule="auto" w:before="160" w:after="120"/>
      </w:pPr>
      <w:r>
        <w:rPr>
          <w:rFonts w:ascii="Times New Roman" w:hAnsi="Times New Roman"/>
          <w:b/>
          <w:color w:val="000000"/>
          <w:sz w:val="24"/>
        </w:rPr>
        <w:t>Genetic candidate localisation</w:t>
      </w:r>
    </w:p>
    <w:p>
      <w:pPr>
        <w:keepNext w:val="0"/>
        <w:widowControl/>
        <w:spacing w:line="276" w:lineRule="auto" w:before="0" w:after="120"/>
      </w:pPr>
      <w:r>
        <w:rPr>
          <w:rFonts w:ascii="Times New Roman" w:hAnsi="Times New Roman"/>
          <w:b w:val="0"/>
          <w:color w:val="000000"/>
          <w:sz w:val="22"/>
        </w:rPr>
        <w:t>The selection of CDH4, DIRAS1, GNG7 and SLC39A3 was based on published GWAS, Mendelian randomisation and colocalisation results from Du et al. No independent GWAS, MAGMA analysis, TWAS or new colocalisation analysis was performed.</w:t>
      </w:r>
    </w:p>
    <w:p>
      <w:pPr>
        <w:keepNext w:val="0"/>
        <w:widowControl/>
        <w:spacing w:line="276" w:lineRule="auto" w:before="0" w:after="120"/>
      </w:pPr>
      <w:r>
        <w:rPr>
          <w:rFonts w:ascii="Times New Roman" w:hAnsi="Times New Roman"/>
          <w:b w:val="0"/>
          <w:color w:val="000000"/>
          <w:sz w:val="22"/>
        </w:rPr>
        <w:t>CellBender counts were normalised to 10,000 counts per nucleus and transformed as log2(CP10k + 1). Donor and cell group summaries comprised mean expression and the percentage of nuclei with detectable expression. CIDP display summaries give equal weight to each of nine donors. Unlike targeted pseudobulk analysis, this localisation did not impose a minimum of 20 nuclei per donor. In B cells, eight of the nine CIDP donor groups fell below that threshold, with one to 54 nuclei across the nine donors. Rare population means therefore require caution. Percentile intervals use 5,000 donor bootstrap resamples with seed 20260904. CIDP versus CIAP tests use Mann and Whitney comparisons, with correction across the original 11 gene candidate screen within each cell group, including the four displayed CIDP candidates. These are expression comparisons, not new genetic association or colocalisation tests. Supplementary Figures 1 and 5 retain the full localisation results.</w:t>
      </w:r>
    </w:p>
    <w:p>
      <w:pPr>
        <w:keepNext/>
        <w:widowControl/>
        <w:spacing w:line="276" w:lineRule="auto" w:before="160" w:after="120"/>
      </w:pPr>
      <w:r>
        <w:rPr>
          <w:rFonts w:ascii="Times New Roman" w:hAnsi="Times New Roman"/>
          <w:b/>
          <w:color w:val="000000"/>
          <w:sz w:val="24"/>
        </w:rPr>
        <w:t>Published external nerve observations</w:t>
      </w:r>
    </w:p>
    <w:p>
      <w:pPr>
        <w:keepNext w:val="0"/>
        <w:widowControl/>
        <w:spacing w:line="276" w:lineRule="auto" w:before="0" w:after="120"/>
      </w:pPr>
      <w:r>
        <w:rPr>
          <w:rFonts w:ascii="Times New Roman" w:hAnsi="Times New Roman"/>
          <w:b w:val="0"/>
          <w:color w:val="000000"/>
          <w:sz w:val="22"/>
          <w:highlight w:val="yellow"/>
        </w:rPr>
        <w:t xml:space="preserve">Published complement deposition and proteomic findings were extracted from the publication associated with PXD056286. The proportion and Wilson interval were calculated from 52 positive biopsies among 55 CIDP or variant cases. Participant biopsy records were not reanalysed. These published observations concern complement and do not replicate the macrophage Fc score. The source atlas spatial panel contained none of the 11 measured Fc module genes. The normal BNB transcriptome provides a separate anatomical reference. None of these comparisons supplies independent disease matched replication of the new programme contrasts or the Fc score.</w:t>
      </w:r>
    </w:p>
    <w:p>
      <w:pPr>
        <w:keepNext/>
        <w:widowControl/>
        <w:spacing w:line="276" w:lineRule="auto" w:before="160" w:after="120"/>
      </w:pPr>
      <w:r>
        <w:rPr>
          <w:rFonts w:ascii="Times New Roman" w:hAnsi="Times New Roman"/>
          <w:b/>
          <w:color w:val="000000"/>
          <w:sz w:val="24"/>
          <w:highlight w:val="yellow"/>
        </w:rPr>
        <w:t xml:space="preserve">Public protein data usability</w:t>
      </w:r>
    </w:p>
    <w:p>
      <w:pPr>
        <w:keepNext w:val="0"/>
        <w:widowControl/>
        <w:spacing w:line="276" w:lineRule="auto" w:before="0" w:after="120"/>
      </w:pPr>
      <w:r>
        <w:rPr>
          <w:rFonts w:ascii="Times New Roman" w:hAnsi="Times New Roman"/>
          <w:b w:val="0"/>
          <w:color w:val="000000"/>
          <w:sz w:val="22"/>
          <w:highlight w:val="yellow"/>
        </w:rPr>
        <w:t xml:space="preserve">The stored PXD056286 protein database was read using verified byte ranges. Raw and normalised abundances were extracted with missing value flags preserved, and run columns were checked against native study and workflow tables. Every available raw and normalised pair was checked against the stored run multiplier. The saved protein filter required master status, no exclusion, high identification confidence and at least two group unique peptides. It retained 1,470 protein records, including 1,460 with quantitative values. This differs from the published final count of 1,411 proteins. Further selection or aggregation could not be reconstructed from the inspected records.</w:t>
      </w:r>
    </w:p>
    <w:p>
      <w:pPr>
        <w:keepNext w:val="0"/>
        <w:widowControl/>
        <w:spacing w:line="276" w:lineRule="auto" w:before="0" w:after="120"/>
      </w:pPr>
      <w:r>
        <w:rPr>
          <w:rFonts w:ascii="Times New Roman" w:hAnsi="Times New Roman"/>
          <w:b w:val="0"/>
          <w:color w:val="000000"/>
          <w:sz w:val="22"/>
          <w:highlight w:val="yellow"/>
        </w:rPr>
        <w:t xml:space="preserve">No verified links between runs, biological specimens and diagnoses were available in the inspected public sources. The 19 runs were therefore not treated as 19 participants, and repeated filename codes were not assumed to indicate technical replicates. Only FCGRT of the original 11 module genes passed the saved filter. Disease comparisons of this module were not performed. The retained exports document data usability and protein coverage and do not constitute positive or negative independent replication.</w:t>
      </w:r>
    </w:p>
    <w:p>
      <w:pPr>
        <w:keepNext/>
        <w:widowControl/>
        <w:spacing w:line="276" w:lineRule="auto" w:before="160" w:after="120"/>
      </w:pPr>
      <w:r>
        <w:rPr>
          <w:rFonts w:ascii="Times New Roman" w:hAnsi="Times New Roman"/>
          <w:b/>
          <w:color w:val="000000"/>
          <w:sz w:val="24"/>
        </w:rPr>
        <w:t>Reproduction and figure provenance</w:t>
      </w:r>
    </w:p>
    <w:p>
      <w:pPr>
        <w:keepNext w:val="0"/>
        <w:widowControl/>
        <w:spacing w:line="276" w:lineRule="auto" w:before="0" w:after="120"/>
      </w:pPr>
      <w:r>
        <w:rPr>
          <w:rFonts w:ascii="Times New Roman" w:hAnsi="Times New Roman"/>
          <w:b w:val="0"/>
          <w:color w:val="000000"/>
          <w:sz w:val="22"/>
        </w:rPr>
        <w:t>The manuscript’s existing availability statement refers to version 2.3.0 of the GitHub analysis and the associated Zenodo archive. These public records are distinguished from the subsequent extension supplied as Additional file 4. No new public release is claimed for the extension.</w:t>
      </w:r>
    </w:p>
    <w:p>
      <w:pPr>
        <w:keepNext w:val="0"/>
        <w:widowControl/>
        <w:spacing w:line="276" w:lineRule="auto" w:before="0" w:after="120"/>
      </w:pPr>
      <w:r>
        <w:rPr>
          <w:rFonts w:ascii="Times New Roman" w:hAnsi="Times New Roman"/>
          <w:b w:val="0"/>
          <w:color w:val="000000"/>
          <w:sz w:val="22"/>
        </w:rPr>
        <w:t>https://doi.org/10.5281/zenodo.22641099</w:t>
      </w:r>
    </w:p>
    <w:p>
      <w:pPr>
        <w:keepNext w:val="0"/>
        <w:widowControl/>
        <w:spacing w:line="276" w:lineRule="auto" w:before="0" w:after="120"/>
      </w:pPr>
      <w:r>
        <w:rPr>
          <w:rFonts w:ascii="Times New Roman" w:hAnsi="Times New Roman"/>
          <w:b w:val="0"/>
          <w:color w:val="000000"/>
          <w:sz w:val="22"/>
        </w:rPr>
        <w:t>The GitHub repository provides analysis scripts and aggregate results.</w:t>
      </w:r>
    </w:p>
    <w:p>
      <w:pPr>
        <w:keepNext w:val="0"/>
        <w:widowControl/>
        <w:spacing w:line="276" w:lineRule="auto" w:before="0" w:after="120"/>
      </w:pPr>
      <w:r>
        <w:rPr>
          <w:rFonts w:ascii="Times New Roman" w:hAnsi="Times New Roman"/>
          <w:b w:val="0"/>
          <w:color w:val="000000"/>
          <w:sz w:val="22"/>
        </w:rPr>
        <w:t>https://github.com/applepie567/gbs-cidp-blood-nerve-barrier</w:t>
      </w:r>
    </w:p>
    <w:p>
      <w:pPr>
        <w:keepNext w:val="0"/>
        <w:widowControl/>
        <w:spacing w:line="276" w:lineRule="auto" w:before="0" w:after="120"/>
      </w:pPr>
      <w:r>
        <w:rPr>
          <w:rFonts w:ascii="Times New Roman" w:hAnsi="Times New Roman"/>
          <w:b w:val="0"/>
          <w:color w:val="000000"/>
          <w:sz w:val="22"/>
          <w:highlight w:val="yellow"/>
        </w:rPr>
        <w:t xml:space="preserve">Additional file 4 includes the dated plan, analysis scripts, dependency information, extraction tables, public input manifest with checksums, complete aggregate results and updated figures. The reconstruction commands in its README generate nerve intermediate files locally from the original source matrices, then repeat the functional contrasts, exact correlation checks and figure generation. The original 80 nerve and 15 clinical result tables are retained as fixed reference inputs for expanded multiplicity calculations. The subsequent focused Fc analyses include the 91 test family and its complete results. The protein component supplies stored intensity exports, run metadata, identification quality, cached source ranges and extraction scripts. Unmodified earlier blood analyses and original broad nerve analyses remain attributable to their source code and archived aggregate inputs.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