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widowControl/>
        <w:ind w:firstLine="0"/>
      </w:pPr>
      <w:r>
        <w:rPr>
          <w:rFonts w:ascii="Times New Roman" w:hAnsi="Times New Roman" w:eastAsia="Times New Roman" w:cs="Times New Roman"/>
          <w:b/>
          <w:color w:val="000000"/>
        </w:rPr>
        <w:t>Additional file 3. Supplementary figures</w:t>
      </w:r>
    </w:p>
    <w:p>
      <w:pPr>
        <w:keepLines/>
        <w:widowControl/>
        <w:ind w:firstLine="0"/>
      </w:pPr>
      <w:r>
        <w:rPr>
          <w:rFonts w:ascii="Times New Roman" w:hAnsi="Times New Roman" w:eastAsia="Times New Roman" w:cs="Times New Roman"/>
          <w:color w:val="000000"/>
        </w:rPr>
        <w:t>Immune gene and protein profiles across blood, cerebrospinal fluid and peripheral nerve in inflammatory neuropathies</w:t>
      </w:r>
    </w:p>
    <w:p>
      <w:pPr>
        <w:pStyle w:val="Heading1"/>
        <w:keepNext/>
        <w:widowControl/>
        <w:ind w:firstLine="0"/>
      </w:pPr>
      <w:r>
        <w:rPr>
          <w:rFonts w:ascii="Times New Roman" w:hAnsi="Times New Roman" w:eastAsia="Times New Roman" w:cs="Times New Roman"/>
          <w:b/>
          <w:color w:val="000000"/>
        </w:rPr>
        <w:t>Supplementary Figure 1. Donor bootstrap intervals for genetic candidate expression</w:t>
      </w:r>
    </w:p>
    <w:p>
      <w:pPr>
        <w:keepNext/>
        <w:widowControl/>
        <w:spacing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80000" cy="5702854"/>
            <wp:docPr id="1" name="Picture 1" descr="Four plots show mean expression and donor bootstrap intervals for genetic candidates across nerve cell groups."/>
            <wp:cNvGraphicFramePr>
              <a:graphicFrameLocks noChangeAspect="1"/>
            </wp:cNvGraphicFramePr>
            <a:graphic>
              <a:graphicData uri="http://schemas.openxmlformats.org/drawingml/2006/picture">
                <pic:pic>
                  <pic:nvPicPr>
                    <pic:cNvPr id="0" name="Supplementary_Figure_1_v39.png"/>
                    <pic:cNvPicPr/>
                  </pic:nvPicPr>
                  <pic:blipFill>
                    <a:blip r:embed="rId10"/>
                    <a:stretch>
                      <a:fillRect/>
                    </a:stretch>
                  </pic:blipFill>
                  <pic:spPr>
                    <a:xfrm>
                      <a:off x="0" y="0"/>
                      <a:ext cx="5580000" cy="5702854"/>
                    </a:xfrm>
                    <a:prstGeom prst="rect"/>
                  </pic:spPr>
                </pic:pic>
              </a:graphicData>
            </a:graphic>
          </wp:inline>
        </w:drawing>
      </w:r>
    </w:p>
    <w:p>
      <w:pPr>
        <w:keepLines/>
        <w:widowControl/>
        <w:spacing w:line="276" w:lineRule="auto" w:after="180"/>
        <w:ind w:firstLine="0"/>
      </w:pPr>
      <w:r>
        <w:rPr>
          <w:rFonts w:ascii="Times New Roman" w:hAnsi="Times New Roman"/>
          <w:color w:val="000000"/>
        </w:rPr>
        <w:t>Points show mean log2(CP10k + 1) across eligible CIDP donors. Bars show percentile 95% intervals from 5000 resamples within each gene and cell group. Resampling was performed at donor level with random seed 20260904. The intervals quantify uncertainty in the donor mean for each gene and cell group. The source values and eligible donor counts are provided in the Genetic_bootstrap worksheet of Additional file 1. This localisation workflow did not impose the 20 nucleus cutoff used for pseudobulk modules. Eight of the nine CIDP B cell samples contained fewer than 20 nuclei, limiting precision for that population.</w:t>
      </w:r>
    </w:p>
    <w:p>
      <w:pPr>
        <w:widowControl/>
        <w:ind w:firstLine="0"/>
      </w:pPr>
      <w:r>
        <w:rPr>
          <w:rFonts w:ascii="Times New Roman" w:hAnsi="Times New Roman" w:eastAsia="Times New Roman" w:cs="Times New Roman"/>
          <w:color w:val="000000"/>
        </w:rPr>
      </w:r>
    </w:p>
    <w:p>
      <w:pPr>
        <w:pStyle w:val="Heading1"/>
        <w:keepNext/>
        <w:widowControl/>
        <w:ind w:firstLine="0"/>
      </w:pPr>
      <w:r>
        <w:rPr>
          <w:rFonts w:ascii="Times New Roman" w:hAnsi="Times New Roman" w:eastAsia="Times New Roman" w:cs="Times New Roman"/>
          <w:b/>
          <w:color w:val="000000"/>
        </w:rPr>
        <w:t>Supplementary Figure 2. Published nerve observations and complement deposition</w:t>
      </w:r>
    </w:p>
    <w:p>
      <w:pPr>
        <w:keepNext/>
        <w:widowControl/>
        <w:spacing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80000" cy="3348000"/>
            <wp:docPr id="2" name="Picture 2" descr="Published nerve findings include complement deposition in 52 of 55 CIDP biopsies, with a calculated Wilson confidence interval."/>
            <wp:cNvGraphicFramePr>
              <a:graphicFrameLocks noChangeAspect="1"/>
            </wp:cNvGraphicFramePr>
            <a:graphic>
              <a:graphicData uri="http://schemas.openxmlformats.org/drawingml/2006/picture">
                <pic:pic>
                  <pic:nvPicPr>
                    <pic:cNvPr id="0" name="Supplementary_Figure_2_v39.png"/>
                    <pic:cNvPicPr/>
                  </pic:nvPicPr>
                  <pic:blipFill>
                    <a:blip r:embed="rId11"/>
                    <a:stretch>
                      <a:fillRect/>
                    </a:stretch>
                  </pic:blipFill>
                  <pic:spPr>
                    <a:xfrm>
                      <a:off x="0" y="0"/>
                      <a:ext cx="5580000" cy="3348000"/>
                    </a:xfrm>
                    <a:prstGeom prst="rect"/>
                  </pic:spPr>
                </pic:pic>
              </a:graphicData>
            </a:graphic>
          </wp:inline>
        </w:drawing>
      </w:r>
    </w:p>
    <w:p>
      <w:pPr>
        <w:keepLines/>
        <w:widowControl/>
        <w:spacing w:line="276" w:lineRule="auto" w:after="180"/>
        <w:ind w:firstLine="0"/>
      </w:pPr>
      <w:r>
        <w:rPr>
          <w:rFonts w:ascii="Times New Roman" w:hAnsi="Times New Roman" w:eastAsia="Times New Roman" w:cs="Times New Roman"/>
          <w:color w:val="000000"/>
        </w:rPr>
        <w:t>Stascheit et al. reported deposition of the terminal complement complex on endoneurial capillaries in 52 of 55 biopsies from patients with CIDP or its variants, together with histological and proteomic findings [37]. The proportion of 94.5% and Wilson 95% interval of 85.1% to 98.1% were calculated from the published count. The other observations summarise qualitative findings from the source study associated with PXD056286. The proteomic subset comprised nine CIDP cases and two controls. Higher C3, C5 and C9 abundance was reported, while C6 protein was elevated in only two cases.</w:t>
      </w:r>
    </w:p>
    <w:p>
      <w:pPr>
        <w:widowControl/>
        <w:ind w:firstLine="0"/>
      </w:pPr>
      <w:r>
        <w:rPr>
          <w:rFonts w:ascii="Times New Roman" w:hAnsi="Times New Roman" w:eastAsia="Times New Roman" w:cs="Times New Roman"/>
          <w:color w:val="000000"/>
        </w:rPr>
      </w:r>
    </w:p>
    <w:p>
      <w:pPr>
        <w:pStyle w:val="Heading1"/>
        <w:keepNext/>
        <w:widowControl/>
        <w:ind w:firstLine="0"/>
      </w:pPr>
      <w:r>
        <w:rPr>
          <w:rFonts w:ascii="Times New Roman" w:hAnsi="Times New Roman" w:eastAsia="Times New Roman" w:cs="Times New Roman"/>
          <w:b/>
          <w:color w:val="000000"/>
        </w:rPr>
        <w:t>Supplementary Figure 3. Fc module components and donor sensitivity analyses</w:t>
      </w:r>
    </w:p>
    <w:p>
      <w:pPr>
        <w:keepNext/>
        <w:widowControl/>
        <w:spacing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806440" cy="2987719"/>
            <wp:docPr id="3" name="Picture 3" descr="Panels show Fc receptor gene differences and the results of donor sensitivity analyses."/>
            <wp:cNvGraphicFramePr>
              <a:graphicFrameLocks noChangeAspect="1"/>
            </wp:cNvGraphicFramePr>
            <a:graphic>
              <a:graphicData uri="http://schemas.openxmlformats.org/drawingml/2006/picture">
                <pic:pic>
                  <pic:nvPicPr>
                    <pic:cNvPr id="0" name="Supplementary_Figure_3_v41.png"/>
                    <pic:cNvPicPr/>
                  </pic:nvPicPr>
                  <pic:blipFill>
                    <a:blip r:embed="rId12"/>
                    <a:stretch>
                      <a:fillRect/>
                    </a:stretch>
                  </pic:blipFill>
                  <pic:spPr>
                    <a:xfrm>
                      <a:off x="0" y="0"/>
                      <a:ext cx="5806440" cy="2987719"/>
                    </a:xfrm>
                    <a:prstGeom prst="rect"/>
                  </pic:spPr>
                </pic:pic>
              </a:graphicData>
            </a:graphic>
          </wp:inline>
        </w:drawing>
      </w:r>
    </w:p>
    <w:p>
      <w:pPr>
        <w:keepLines/>
        <w:widowControl/>
        <w:spacing w:line="276" w:lineRule="auto" w:after="180"/>
        <w:ind w:firstLine="0"/>
      </w:pPr>
      <w:r>
        <w:rPr>
          <w:rFonts w:ascii="Times New Roman" w:hAnsi="Times New Roman"/>
          <w:color w:val="000000"/>
        </w:rPr>
        <w:t>(A) Differences in mean log2(CPM + 0.5) for the 11 measured genes, calculated as CIDP minus CIAP. FCGR2C was absent from the matrix. Displayed q values were derived from two sided Mann and Whitney tests with Benjamini and Hochberg correction across the 11 genes. Points and bars show mean differences and unadjusted 95% confidence intervals from separate ordinary least squares models with HC3 covariance and residual degrees of freedom. These intervals do not correspond to the rank tests used to calculate q values. (B) Module score differences under demographic and composition sensitivity analyses, with HC3 95% confidence intervals. Standardisation within the 20 CIDP and CIAP donors changes the score scale. The exact permutation test within centres gave P = 0.0048 and is reported separately from the model intervals. The original module q value was 0.0087 within eight macrophage modules and 0.087 across all 80 eligible module tests. These exploratory analyses followed the initial Fc module observation. When the nine new programme tests are included, the original Fc module result has q = 0.097 across 89 tests.</w:t>
      </w:r>
    </w:p>
    <w:p>
      <w:pPr>
        <w:widowControl/>
        <w:ind w:firstLine="0"/>
      </w:pPr>
      <w:r>
        <w:rPr>
          <w:rFonts w:ascii="Times New Roman" w:hAnsi="Times New Roman" w:eastAsia="Times New Roman" w:cs="Times New Roman"/>
          <w:color w:val="000000"/>
        </w:rPr>
      </w:r>
    </w:p>
    <w:p>
      <w:pPr>
        <w:pStyle w:val="Heading1"/>
        <w:keepNext/>
        <w:widowControl/>
        <w:ind w:firstLine="0"/>
      </w:pPr>
      <w:r>
        <w:rPr>
          <w:rFonts w:ascii="Times New Roman" w:hAnsi="Times New Roman" w:eastAsia="Times New Roman" w:cs="Times New Roman"/>
          <w:b/>
          <w:color w:val="000000"/>
        </w:rPr>
        <w:t>Supplementary Figure 4. Fc scores under alternative macrophage annotations</w:t>
      </w:r>
    </w:p>
    <w:p>
      <w:pPr>
        <w:keepNext/>
        <w:widowControl/>
        <w:spacing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4205723"/>
            <wp:docPr id="4" name="Picture 4" descr="The plot shows macrophage Fc module differences under broad and refined annotation definitions."/>
            <wp:cNvGraphicFramePr>
              <a:graphicFrameLocks noChangeAspect="1"/>
            </wp:cNvGraphicFramePr>
            <a:graphic>
              <a:graphicData uri="http://schemas.openxmlformats.org/drawingml/2006/picture">
                <pic:pic>
                  <pic:nvPicPr>
                    <pic:cNvPr id="0" name="Supplementary_Figure_4_v41.png"/>
                    <pic:cNvPicPr/>
                  </pic:nvPicPr>
                  <pic:blipFill>
                    <a:blip r:embed="rId13"/>
                    <a:stretch>
                      <a:fillRect/>
                    </a:stretch>
                  </pic:blipFill>
                  <pic:spPr>
                    <a:xfrm>
                      <a:off x="0" y="0"/>
                      <a:ext cx="5486400" cy="4205723"/>
                    </a:xfrm>
                    <a:prstGeom prst="rect"/>
                  </pic:spPr>
                </pic:pic>
              </a:graphicData>
            </a:graphic>
          </wp:inline>
        </w:drawing>
      </w:r>
    </w:p>
    <w:p>
      <w:pPr>
        <w:keepLines/>
        <w:widowControl/>
        <w:spacing w:line="276" w:lineRule="auto" w:after="180"/>
        <w:ind w:firstLine="0"/>
      </w:pPr>
      <w:commentRangeStart w:id="1"/>
      <w:r>
        <w:rPr>
          <w:rFonts w:ascii="Times New Roman" w:hAnsi="Times New Roman" w:eastAsia="Times New Roman" w:cs="Times New Roman"/>
          <w:color w:val="000000"/>
        </w:rPr>
        <w:t xml:space="preserve">The original and refined annotations represent distinct classification levels. The refined union contains Macro1 through Macro18. Eligibility requires at least 20 nuclei per donor and three donors per diagnosis. Original Macro1 was ineligible. Points and bars show mean score differences </w:t>
      </w:r>
      <w:r>
        <w:rPr>
          <w:rFonts w:ascii="Times New Roman" w:hAnsi="Times New Roman" w:eastAsia="Times New Roman" w:cs="Times New Roman"/>
          <w:color w:val="000000"/>
        </w:rPr>
        <w:t>c</w:t>
      </w:r>
      <w:r>
        <w:rPr>
          <w:rFonts w:ascii="Times New Roman" w:hAnsi="Times New Roman" w:eastAsia="Times New Roman" w:cs="Times New Roman"/>
          <w:color w:val="000000"/>
        </w:rPr>
        <w:t>a</w:t>
      </w:r>
      <w:r>
        <w:rPr>
          <w:rFonts w:ascii="Times New Roman" w:hAnsi="Times New Roman" w:eastAsia="Times New Roman" w:cs="Times New Roman"/>
          <w:color w:val="000000"/>
        </w:rPr>
        <w:t>lculated as CIDP mi</w:t>
      </w:r>
      <w:r>
        <w:rPr>
          <w:rFonts w:ascii="Times New Roman" w:hAnsi="Times New Roman" w:eastAsia="Times New Roman" w:cs="Times New Roman"/>
          <w:color w:val="000000"/>
        </w:rPr>
        <w:t>n</w:t>
      </w:r>
      <w:r>
        <w:rPr>
          <w:rFonts w:ascii="Times New Roman" w:hAnsi="Times New Roman" w:eastAsia="Times New Roman" w:cs="Times New Roman"/>
          <w:color w:val="000000"/>
        </w:rPr>
        <w:t>us CIAP, with unadjuste</w:t>
      </w:r>
      <w:r>
        <w:rPr>
          <w:rFonts w:ascii="Times New Roman" w:hAnsi="Times New Roman" w:eastAsia="Times New Roman" w:cs="Times New Roman"/>
          <w:color w:val="000000"/>
        </w:rPr>
        <w:t>d HC3 95%</w:t>
      </w:r>
      <w:r>
        <w:rPr>
          <w:rFonts w:ascii="Times New Roman" w:hAnsi="Times New Roman" w:eastAsia="Times New Roman" w:cs="Times New Roman"/>
          <w:color w:val="000000"/>
        </w:rPr>
        <w:t xml:space="preserve"> confidence</w:t>
      </w:r>
      <w:r>
        <w:rPr>
          <w:rFonts w:ascii="Times New Roman" w:hAnsi="Times New Roman" w:eastAsia="Times New Roman" w:cs="Times New Roman"/>
          <w:color w:val="000000"/>
        </w:rPr>
        <w:t xml:space="preserve"> intervals. Genes are standardi</w:t>
      </w:r>
      <w:r>
        <w:rPr>
          <w:rFonts w:ascii="Times New Roman" w:hAnsi="Times New Roman" w:eastAsia="Times New Roman" w:cs="Times New Roman"/>
          <w:color w:val="000000"/>
        </w:rPr>
        <w:t>s</w:t>
      </w:r>
      <w:r>
        <w:rPr>
          <w:rFonts w:ascii="Times New Roman" w:hAnsi="Times New Roman" w:eastAsia="Times New Roman" w:cs="Times New Roman"/>
          <w:color w:val="000000"/>
        </w:rPr>
        <w:t>ed</w:t>
      </w:r>
      <w:r>
        <w:rPr>
          <w:rFonts w:ascii="Times New Roman" w:hAnsi="Times New Roman" w:eastAsia="Times New Roman" w:cs="Times New Roman"/>
          <w:color w:val="000000"/>
        </w:rPr>
        <w:t xml:space="preserve"> across eligible CIDP and CIAP donors</w:t>
      </w:r>
      <w:r>
        <w:rPr>
          <w:rFonts w:ascii="Times New Roman" w:hAnsi="Times New Roman" w:eastAsia="Times New Roman" w:cs="Times New Roman"/>
          <w:color w:val="000000"/>
        </w:rPr>
        <w:t xml:space="preserve"> within each annotation. Parentheses give CIDP and CIAP donor counts. Subtype q values </w:t>
      </w:r>
      <w:r>
        <w:rPr>
          <w:rFonts w:ascii="Times New Roman" w:hAnsi="Times New Roman" w:eastAsia="Times New Roman" w:cs="Times New Roman"/>
          <w:color w:val="000000"/>
        </w:rPr>
        <w:t xml:space="preserve">were derived from two </w:t>
      </w:r>
      <w:r>
        <w:rPr>
          <w:rFonts w:ascii="Times New Roman" w:hAnsi="Times New Roman" w:eastAsia="Times New Roman" w:cs="Times New Roman"/>
          <w:color w:val="000000"/>
        </w:rPr>
        <w:t>s</w:t>
      </w:r>
      <w:r>
        <w:rPr>
          <w:rFonts w:ascii="Times New Roman" w:hAnsi="Times New Roman" w:eastAsia="Times New Roman" w:cs="Times New Roman"/>
          <w:color w:val="000000"/>
        </w:rPr>
        <w:t>id</w:t>
      </w:r>
      <w:r>
        <w:rPr>
          <w:rFonts w:ascii="Times New Roman" w:hAnsi="Times New Roman" w:eastAsia="Times New Roman" w:cs="Times New Roman"/>
          <w:color w:val="000000"/>
        </w:rPr>
        <w:t>e</w:t>
      </w:r>
      <w:r>
        <w:rPr>
          <w:rFonts w:ascii="Times New Roman" w:hAnsi="Times New Roman" w:eastAsia="Times New Roman" w:cs="Times New Roman"/>
          <w:color w:val="000000"/>
        </w:rPr>
        <w:t>d Mann and Whitney tests with Benjamini and Hochberg correction across</w:t>
      </w:r>
      <w:r>
        <w:rPr>
          <w:rFonts w:ascii="Times New Roman" w:hAnsi="Times New Roman" w:eastAsia="Times New Roman" w:cs="Times New Roman"/>
          <w:color w:val="000000"/>
        </w:rPr>
        <w:t xml:space="preserve"> nine </w:t>
      </w:r>
      <w:r>
        <w:rPr>
          <w:rFonts w:ascii="Times New Roman" w:hAnsi="Times New Roman" w:eastAsia="Times New Roman" w:cs="Times New Roman"/>
          <w:color w:val="000000"/>
        </w:rPr>
        <w:t>sub</w:t>
      </w:r>
      <w:r>
        <w:rPr>
          <w:rFonts w:ascii="Times New Roman" w:hAnsi="Times New Roman" w:eastAsia="Times New Roman" w:cs="Times New Roman"/>
          <w:color w:val="000000"/>
        </w:rPr>
        <w:t>t</w:t>
      </w:r>
      <w:r>
        <w:rPr>
          <w:rFonts w:ascii="Times New Roman" w:hAnsi="Times New Roman" w:eastAsia="Times New Roman" w:cs="Times New Roman"/>
          <w:color w:val="000000"/>
        </w:rPr>
        <w:t>yp</w:t>
      </w:r>
      <w:r>
        <w:rPr>
          <w:rFonts w:ascii="Times New Roman" w:hAnsi="Times New Roman" w:eastAsia="Times New Roman" w:cs="Times New Roman"/>
          <w:color w:val="000000"/>
        </w:rPr>
        <w:t>es, and all exceed 0.05. The three broader definition checks form a separate testing family.</w:t>
      </w:r>
      <w:r>
        <w:rPr>
          <w:rFonts w:ascii="Times New Roman" w:hAnsi="Times New Roman" w:eastAsia="Times New Roman" w:cs="Times New Roman"/>
          <w:color w:val="000000"/>
        </w:rPr>
        <w:t xml:space="preserve"> The HC3 intervals describe mean differences and do not correspond to the rank tests used for q values.</w:t>
      </w:r>
      <w:commentRangeEnd w:id="1"/>
      <w:r>
        <w:rPr>
          <w:rStyle w:val="CommentReference"/>
        </w:rPr>
        <w:commentReference w:id="1"/>
      </w:r>
    </w:p>
    <w:p>
      <w:pPr>
        <w:pStyle w:val="Heading1"/>
        <w:keepNext/>
        <w:pageBreakBefore/>
      </w:pPr>
      <w:r>
        <w:t>Supplementary Figure 5. Cellular expression of published genetic candidates</w:t>
      </w:r>
    </w:p>
    <w:p>
      <w:pPr>
        <w:keepNext/>
        <w:spacing w:line="240" w:lineRule="auto"/>
      </w:pPr>
      <w:r>
        <w:drawing>
          <wp:inline xmlns:a="http://schemas.openxmlformats.org/drawingml/2006/main" xmlns:pic="http://schemas.openxmlformats.org/drawingml/2006/picture">
            <wp:extent cx="5623560" cy="5398618"/>
            <wp:docPr id="5" name="Picture 5"/>
            <wp:cNvGraphicFramePr>
              <a:graphicFrameLocks noChangeAspect="1"/>
            </wp:cNvGraphicFramePr>
            <a:graphic>
              <a:graphicData uri="http://schemas.openxmlformats.org/drawingml/2006/picture">
                <pic:pic>
                  <pic:nvPicPr>
                    <pic:cNvPr id="0" name="Supplementary_Figure_5.png"/>
                    <pic:cNvPicPr/>
                  </pic:nvPicPr>
                  <pic:blipFill>
                    <a:blip r:embed="rId16"/>
                    <a:stretch>
                      <a:fillRect/>
                    </a:stretch>
                  </pic:blipFill>
                  <pic:spPr>
                    <a:xfrm>
                      <a:off x="0" y="0"/>
                      <a:ext cx="5623560" cy="5398618"/>
                    </a:xfrm>
                    <a:prstGeom prst="rect"/>
                  </pic:spPr>
                </pic:pic>
              </a:graphicData>
            </a:graphic>
          </wp:inline>
        </w:drawing>
      </w:r>
    </w:p>
    <w:p>
      <w:pPr>
        <w:spacing w:line="269" w:lineRule="auto" w:after="120"/>
      </w:pPr>
      <w:r>
        <w:rPr>
          <w:rFonts w:ascii="Times New Roman" w:hAnsi="Times New Roman"/>
          <w:sz w:val="21"/>
        </w:rPr>
        <w:t>(A) Donor mean expression and detection for CDH4, DIRAS1, GNG7 and SLC39A3. Colour shows the mean of donor mean log2(CP10k + 1) values. Dot area is proportional to the mean donor percentage of expressing nuclei, with crosses for zero detection. Each summary gives equal weight to nine CIDP donors. This workflow did not apply the 20 nucleus pseudobulk cutoff. Eight of nine CIDP B cell groups contained fewer than 20 nuclei. (B) Published estimates from Du et al. used for candidate selection [32]. The CDH4 odds ratio concerns rs80339443 in women. MR denotes Mendelian randomisation and PP.H4 the posterior probability of a shared causal variant. (C) CIDP minus CIAP donor mean expression. All displayed q values exceed 0.05 after correction within the original candidate screening family. These expression summaries do not establish genetic mediation. Abbreviations follow Figure 4.</w:t>
      </w:r>
    </w:p>
    <w:p>
      <w:pPr>
        <w:pStyle w:val="Heading1"/>
        <w:keepNext/>
        <w:pageBreakBefore/>
      </w:pPr>
      <w:r>
        <w:t>Supplementary Figure 6. Original nerve module correlations with disability</w:t>
      </w:r>
    </w:p>
    <w:p>
      <w:pPr>
        <w:keepNext/>
        <w:spacing w:line="240" w:lineRule="auto"/>
      </w:pPr>
      <w:r>
        <w:drawing>
          <wp:inline xmlns:a="http://schemas.openxmlformats.org/drawingml/2006/main" xmlns:pic="http://schemas.openxmlformats.org/drawingml/2006/picture">
            <wp:extent cx="5623560" cy="3749040"/>
            <wp:docPr id="6" name="Picture 6"/>
            <wp:cNvGraphicFramePr>
              <a:graphicFrameLocks noChangeAspect="1"/>
            </wp:cNvGraphicFramePr>
            <a:graphic>
              <a:graphicData uri="http://schemas.openxmlformats.org/drawingml/2006/picture">
                <pic:pic>
                  <pic:nvPicPr>
                    <pic:cNvPr id="0" name="Supplementary_Figure_6.png"/>
                    <pic:cNvPicPr/>
                  </pic:nvPicPr>
                  <pic:blipFill>
                    <a:blip r:embed="rId17"/>
                    <a:stretch>
                      <a:fillRect/>
                    </a:stretch>
                  </pic:blipFill>
                  <pic:spPr>
                    <a:xfrm>
                      <a:off x="0" y="0"/>
                      <a:ext cx="5623560" cy="3749040"/>
                    </a:xfrm>
                    <a:prstGeom prst="rect"/>
                  </pic:spPr>
                </pic:pic>
              </a:graphicData>
            </a:graphic>
          </wp:inline>
        </w:drawing>
      </w:r>
    </w:p>
    <w:p>
      <w:pPr>
        <w:spacing w:line="269" w:lineRule="auto" w:after="120"/>
      </w:pPr>
      <w:r>
        <w:rPr>
          <w:rFonts w:ascii="Times New Roman" w:hAnsi="Times New Roman"/>
          <w:sz w:val="21"/>
        </w:rPr>
        <w:t>Spearman correlations between the 15 original combinations of cell group and gene module and INCAT disability in nine CIDP donors. All original q values exceed 0.05 after correction across 15 tests. The combined myelin and repair score in repair and damage Schwann cells has ρ = 0.840, P = 0.0046 and q = 0.069. These archived tests use asymptotic P values. The two separated programme correlations are reported in main Figure 5 using exact P values and an expanded 17 test correction. The original correlations are preserved without changing their P values.</w:t>
      </w:r>
    </w:p>
    <w:p>
      <w:pPr>
        <w:pStyle w:val="Heading1"/>
        <w:keepNext/>
        <w:pageBreakBefore/>
      </w:pPr>
      <w:r>
        <w:t>Supplementary Figure 7. Selected endothelial genes in normal human BNB preparations</w:t>
      </w:r>
    </w:p>
    <w:p>
      <w:pPr>
        <w:keepNext/>
        <w:spacing w:line="240" w:lineRule="auto"/>
      </w:pPr>
      <w:r>
        <w:drawing>
          <wp:inline xmlns:a="http://schemas.openxmlformats.org/drawingml/2006/main" xmlns:pic="http://schemas.openxmlformats.org/drawingml/2006/picture">
            <wp:extent cx="5623560" cy="4671881"/>
            <wp:docPr id="7" name="Picture 7"/>
            <wp:cNvGraphicFramePr>
              <a:graphicFrameLocks noChangeAspect="1"/>
            </wp:cNvGraphicFramePr>
            <a:graphic>
              <a:graphicData uri="http://schemas.openxmlformats.org/drawingml/2006/picture">
                <pic:pic>
                  <pic:nvPicPr>
                    <pic:cNvPr id="0" name="Supplementary_Figure_7.png"/>
                    <pic:cNvPicPr/>
                  </pic:nvPicPr>
                  <pic:blipFill>
                    <a:blip r:embed="rId18"/>
                    <a:stretch>
                      <a:fillRect/>
                    </a:stretch>
                  </pic:blipFill>
                  <pic:spPr>
                    <a:xfrm>
                      <a:off x="0" y="0"/>
                      <a:ext cx="5623560" cy="4671881"/>
                    </a:xfrm>
                    <a:prstGeom prst="rect"/>
                  </pic:spPr>
                </pic:pic>
              </a:graphicData>
            </a:graphic>
          </wp:inline>
        </w:drawing>
      </w:r>
    </w:p>
    <w:p>
      <w:pPr>
        <w:spacing w:line="269" w:lineRule="auto" w:after="120"/>
      </w:pPr>
      <w:r>
        <w:rPr>
          <w:rFonts w:ascii="Times New Roman" w:hAnsi="Times New Roman"/>
          <w:sz w:val="21"/>
        </w:rPr>
        <w:t>Expression of all 11 genes in the endothelial junction, transport and inflammatory adhesion sets in GSE107574. Colour shows log2(FPKM + 1). The first two columns are cultured endothelial preparations at different passages, followed by four laser captured normal nerve preparations. White lines separate preparations and gene sets. All 11 genes were detected in at least two of the four nerve preparations. These samples provide anatomical expression context and contain no CIDP comparison. They are not independent disease validation and were not treated as six independent patients.</w:t>
      </w:r>
    </w:p>
    <w:sectPr w:rsidR="00FC693F" w:rsidRPr="0006063C" w:rsidSect="00034616">
      <w:footerReference w:type="default" r:id="rId9"/>
      <w:headerReference w:type="default" r:id="rId14"/>
      <w:pgSz w:w="11906" w:h="16838"/>
      <w:pgMar w:top="1417" w:right="1417" w:bottom="1417" w:left="1417" w:header="720" w:footer="720" w:gutter="0"/>
      <w:cols w:space="720"/>
      <w:docGrid w:linePitch="360"/>
      <w:lnNumType w:countBy="1" w:restart="continuous" w:distance="24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投稿前审校" w:initials="审校" w:date="2026-09-15T10:11:16Z">
    <w:p>
      <w:pPr>
        <w:pStyle w:val="CommentText"/>
      </w:pPr>
      <w:r>
        <w:rPr>
          <w:rStyle w:val="CommentReference"/>
          <w:rFonts w:ascii="Noto Sans CJK SC" w:hAnsi="Noto Sans CJK SC"/>
          <w:color w:val="000000"/>
          <w:sz w:val="20"/>
        </w:rPr>
        <w:annotationRef/>
      </w:r>
      <w:r>
        <w:rPr>
          <w:rFonts w:ascii="Noto Sans CJK SC" w:hAnsi="Noto Sans CJK SC"/>
          <w:color w:val="000000"/>
          <w:sz w:val="20"/>
        </w:rPr>
        <w:t>HCK的q = 0.014与HC3区间包含0并非计算错误，二者来自不同检验。图例已分别注明。FCGR1A的HC3区间不含0但q &gt; 0.05同样可以发生。不要为使图形与q值表面一致而手工改动区间。</w:t>
      </w:r>
    </w:p>
  </w:comment>
  <w:comment w:id="1" w:author="投稿前审校" w:initials="审校" w:date="2026-09-15T10:11:16Z">
    <w:p>
      <w:pPr>
        <w:pStyle w:val="CommentText"/>
      </w:pPr>
      <w:r>
        <w:rPr>
          <w:rStyle w:val="CommentReference"/>
          <w:rFonts w:ascii="Noto Sans CJK SC" w:hAnsi="Noto Sans CJK SC"/>
          <w:color w:val="000000"/>
          <w:sz w:val="20"/>
        </w:rPr>
        <w:annotationRef/>
      </w:r>
      <w:r>
        <w:rPr>
          <w:rFonts w:ascii="Noto Sans CJK SC" w:hAnsi="Noto Sans CJK SC"/>
          <w:color w:val="000000"/>
          <w:sz w:val="20"/>
        </w:rPr>
        <w:t>该图采用每种注释内重新标准化的分数，横向比较不同注释的效应大小需谨慎。已写明标准化范围，所有9项亚型q值及供者计数与源表一致。</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numPr>
        <w:numId w:val="0"/>
      </w:numPr>
      <w:suppressLineNumbers/>
    </w:pPr>
    <w:fldSimple w:instr="PAGE">
      <w:r>
        <w:rPr>
          <w:rFonts w:ascii="Times New Roman" w:hAnsi="Times New Roman" w:eastAsia="Times New Roman" w:cs="Times New Roman"/>
          <w:color w:val="00000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numPr>
        <w:numId w:val="0"/>
      </w:numPr>
      <w:suppressLineNumbers/>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ind w:firstLin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widowControl/>
      <w:spacing w:before="240" w:after="0" w:line="480" w:lineRule="auto"/>
      <w:ind w:firstLine="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480" w:lineRule="auto"/>
      <w:ind w:firstLine="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48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widowControl/>
      <w:spacing w:after="0" w:line="480" w:lineRule="auto" w:before="0"/>
      <w:ind w:firstLin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after="0" w:before="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widowControl/>
      <w:spacing w:line="480" w:lineRule="auto" w:after="0" w:before="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comments" Target="comments.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compartmentalization across blood, cerebrospinal fluid and nerve in inflammatory neuropathies</dc:title>
  <dc:subject>Brain Communications original article; revised manuscript v39</dc:subject>
  <dc:creator>Yuan Feng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