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r w:rsidR="00A00FD5" w:rsidRPr="00335569">
        <w:rPr>
          <w:rFonts w:ascii="Times New Roman" w:eastAsia="標楷體" w:hAnsi="Times New Roman" w:cs="Times New Roman" w:hint="eastAsia"/>
          <w:sz w:val="32"/>
        </w:rPr>
        <w:t xml:space="preserve">Bank of Taiwan, Hsinyi Branch 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47059D9A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：請電匯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/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以支付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測試支付項目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，淨額為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二〇八、二九四．五二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(US$208,294.52)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NEC Corporation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r w:rsidRPr="00335569">
        <w:rPr>
          <w:rFonts w:ascii="Times New Roman" w:hAnsi="Times New Roman" w:cs="Times New Roman"/>
          <w:sz w:val="28"/>
          <w:szCs w:val="28"/>
        </w:rPr>
        <w:t xml:space="preserve">Sumitomo Mitsui Banking Corporation, Tokyo Main Office (211)</w:t>
      </w:r>
    </w:p>
    <w:p w14:paraId="01412EDD" w14:textId="08A26219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：</w:t>
      </w:r>
      <w:r w:rsidRPr="00335569">
        <w:rPr>
          <w:rFonts w:ascii="Times New Roman" w:hAnsi="Times New Roman" w:cs="Times New Roman"/>
          <w:sz w:val="28"/>
          <w:szCs w:val="28"/>
        </w:rPr>
        <w:t xml:space="preserve">3-2, Marunouchi 1-chome, Chiyoda-ku, Tokyo, Japan NEC Corporation</w:t>
      </w:r>
    </w:p>
    <w:p w14:paraId="3CAF8763" w14:textId="6C7E3FFB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r w:rsidRPr="00335569">
        <w:rPr>
          <w:rFonts w:ascii="Times New Roman" w:hAnsi="Times New Roman" w:cs="Times New Roman"/>
          <w:sz w:val="28"/>
          <w:szCs w:val="28"/>
        </w:rPr>
        <w:t xml:space="preserve">258008</w:t>
      </w:r>
    </w:p>
    <w:p w14:paraId="34E9B629" w14:textId="426EA3A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</w:t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SMBCJPJT</w:t>
      </w:r>
    </w:p>
    <w:p w14:paraId="229E759C" w14:textId="5B30778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3412AE53" w14:textId="56B9EA0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 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Invoice No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.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DT0170168-1/DT0170168-2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測試海纜資訊</w:t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 xml:space="preserve"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US$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208,294.52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外幣活期存款第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 xml:space="preserve">054-007-50196-8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129D9" w14:textId="77777777" w:rsidR="00207E3C" w:rsidRDefault="00207E3C">
      <w:r>
        <w:separator/>
      </w:r>
    </w:p>
  </w:endnote>
  <w:endnote w:type="continuationSeparator" w:id="0">
    <w:p w14:paraId="7A06D52D" w14:textId="77777777" w:rsidR="00207E3C" w:rsidRDefault="002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8BDAB" w14:textId="650D40AC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398B" w:rsidRPr="00BF398B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7C37D" w14:textId="77777777" w:rsidR="00207E3C" w:rsidRDefault="00207E3C">
      <w:r>
        <w:separator/>
      </w:r>
    </w:p>
  </w:footnote>
  <w:footnote w:type="continuationSeparator" w:id="0">
    <w:p w14:paraId="6097EE7E" w14:textId="77777777" w:rsidR="00207E3C" w:rsidRDefault="00207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35"/>
    <w:rsid w:val="001C0F6B"/>
    <w:rsid w:val="00207E3C"/>
    <w:rsid w:val="002A63F7"/>
    <w:rsid w:val="00335569"/>
    <w:rsid w:val="003C4E6C"/>
    <w:rsid w:val="005675BA"/>
    <w:rsid w:val="00664913"/>
    <w:rsid w:val="006C7835"/>
    <w:rsid w:val="00764347"/>
    <w:rsid w:val="00872171"/>
    <w:rsid w:val="009F3012"/>
    <w:rsid w:val="00A00FD5"/>
    <w:rsid w:val="00A30516"/>
    <w:rsid w:val="00A958A2"/>
    <w:rsid w:val="00AE13AB"/>
    <w:rsid w:val="00B47EE7"/>
    <w:rsid w:val="00BF398B"/>
    <w:rsid w:val="00C506CD"/>
    <w:rsid w:val="00D522DE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customXml/itemProps3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110</Words>
  <Characters>629</Characters>
  <Application>Microsoft Office Word</Application>
  <DocSecurity>0</DocSecurity>
  <Lines>5</Lines>
  <Paragraphs>1</Paragraphs>
  <ScaleCrop>false</ScaleCrop>
  <Company>eic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14</cp:revision>
  <dcterms:created xsi:type="dcterms:W3CDTF">2023-06-05T09:06:00Z</dcterms:created>
  <dcterms:modified xsi:type="dcterms:W3CDTF">2023-06-26T08:00:00Z</dcterms:modified>
  <dc:description/>
  <dc:identifier/>
  <dc:language/>
</cp:coreProperties>
</file>