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Premier Shipping</w:t>
        <w:br/>
      </w:r>
      <w:r>
        <w:t>Unit 94 272 James Drive</w:t>
        <w:br/>
      </w:r>
      <w:r>
        <w:t>Port Ashley, NSW 2889</w:t>
        <w:br/>
      </w:r>
      <w:r>
        <w:t>+61.3.2652.3781 | billing@premiershipping.com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INV-64788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10,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25,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15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Buck Ltd</w:t>
        <w:br/>
      </w:r>
      <w:r>
        <w:t>84 Ellis Flat</w:t>
        <w:br/>
      </w:r>
      <w:r>
        <w:t>St. Nicholas, SA 0292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Pallet Exchange (pallet)</w:t>
            </w:r>
          </w:p>
        </w:tc>
        <w:tc>
          <w:tcPr>
            <w:tcW w:type="dxa" w:w="2340"/>
          </w:tcPr>
          <w:p>
            <w:r>
              <w:t>60.61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$25.81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$1,564.34</w:t>
            </w:r>
          </w:p>
        </w:tc>
      </w:tr>
      <w:tr>
        <w:tc>
          <w:tcPr>
            <w:tcW w:type="dxa" w:w="2340"/>
          </w:tcPr>
          <w:p>
            <w:r>
              <w:t>Fuel Surcharge (% of base)</w:t>
            </w:r>
          </w:p>
        </w:tc>
        <w:tc>
          <w:tcPr>
            <w:tcW w:type="dxa" w:w="2340"/>
          </w:tcPr>
          <w:p>
            <w:r>
              <w:t>42.08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$15.33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$645.09</w:t>
            </w:r>
          </w:p>
        </w:tc>
      </w:tr>
      <w:tr>
        <w:tc>
          <w:tcPr>
            <w:tcW w:type="dxa" w:w="2340"/>
          </w:tcPr>
          <w:p>
            <w:r>
              <w:t>LTL Freight - Class 85 (cwt)</w:t>
            </w:r>
          </w:p>
        </w:tc>
        <w:tc>
          <w:tcPr>
            <w:tcW w:type="dxa" w:w="2340"/>
          </w:tcPr>
          <w:p>
            <w:r>
              <w:t>42.18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$48.17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$2,031.81</w:t>
            </w:r>
          </w:p>
        </w:tc>
      </w:tr>
      <w:tr>
        <w:tc>
          <w:tcPr>
            <w:tcW w:type="dxa" w:w="2340"/>
          </w:tcPr>
          <w:p>
            <w:r>
              <w:t>Residential Delivery (per stop)</w:t>
            </w:r>
          </w:p>
        </w:tc>
        <w:tc>
          <w:tcPr>
            <w:tcW w:type="dxa" w:w="2340"/>
          </w:tcPr>
          <w:p>
            <w:r>
              <w:t>32.27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$60.25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$1,944.27</w:t>
            </w:r>
          </w:p>
        </w:tc>
      </w:tr>
      <w:tr>
        <w:tc>
          <w:tcPr>
            <w:tcW w:type="dxa" w:w="2340"/>
          </w:tcPr>
          <w:p>
            <w:r>
              <w:t>Liftgate Service (per stop)</w:t>
            </w:r>
          </w:p>
        </w:tc>
        <w:tc>
          <w:tcPr>
            <w:tcW w:type="dxa" w:w="2340"/>
          </w:tcPr>
          <w:p>
            <w:r>
              <w:t>31.17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$84.69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$2,639.79</w:t>
            </w:r>
          </w:p>
        </w:tc>
      </w:tr>
      <w:tr>
        <w:tc>
          <w:tcPr>
            <w:tcW w:type="dxa" w:w="2340"/>
          </w:tcPr>
          <w:p>
            <w:r>
              <w:t>LTL Freight - Class 50 (cwt)</w:t>
            </w:r>
          </w:p>
        </w:tc>
        <w:tc>
          <w:tcPr>
            <w:tcW w:type="dxa" w:w="2340"/>
          </w:tcPr>
          <w:p>
            <w:r>
              <w:t>80.51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$44.28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$3,564.98</w:t>
            </w:r>
          </w:p>
        </w:tc>
      </w:tr>
      <w:tr>
        <w:tc>
          <w:tcPr>
            <w:tcW w:type="dxa" w:w="2340"/>
          </w:tcPr>
          <w:p>
            <w:r>
              <w:t>Residential Delivery (per stop)</w:t>
            </w:r>
          </w:p>
        </w:tc>
        <w:tc>
          <w:tcPr>
            <w:tcW w:type="dxa" w:w="2340"/>
          </w:tcPr>
          <w:p>
            <w:r>
              <w:t>67.45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$60.04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$4,049.70</w:t>
            </w:r>
          </w:p>
        </w:tc>
      </w:tr>
      <w:tr>
        <w:tc>
          <w:tcPr>
            <w:tcW w:type="dxa" w:w="2340"/>
          </w:tcPr>
          <w:p>
            <w:r>
              <w:t>LTL Freight - Class 50 (cwt)</w:t>
            </w:r>
          </w:p>
        </w:tc>
        <w:tc>
          <w:tcPr>
            <w:tcW w:type="dxa" w:w="2340"/>
          </w:tcPr>
          <w:p>
            <w:r>
              <w:t>18.27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$17.52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$320.09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$16,760.07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(10%):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$1,676.01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$18,436.08</w:t>
            </w:r>
          </w:p>
        </w:tc>
      </w:tr>
    </w:tbl>
    <w:p/>
    <w:p>
      <w:pPr>
        <w:pStyle w:val="IntenseQuote"/>
      </w:pPr>
      <w:r>
        <w:t>BOL #BOL-666682 - Shipment delivered on 2025-11-10. POD available online.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