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Standard Fabrication</w:t>
        <w:br/>
      </w:r>
      <w:r>
        <w:t>01120 Wilson Place</w:t>
        <w:br/>
      </w:r>
      <w:r>
        <w:t>Greenmouth, MP 45066</w:t>
        <w:br/>
      </w:r>
      <w:r>
        <w:t>(710)813-6396x4996 | billing@standardfabrication.com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INV-51883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12,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December 12,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Williams-Medina</w:t>
        <w:br/>
      </w:r>
      <w:r>
        <w:t>034 Michael Trail</w:t>
        <w:br/>
      </w:r>
      <w:r>
        <w:t>South Mackenzie, MS 29974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37.44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$16.28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$609.52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7.96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$94.67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$753.57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12.22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$99.75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$1,218.94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73.13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$2,127.07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$155,552.63</w:t>
            </w:r>
          </w:p>
        </w:tc>
      </w:tr>
      <w:tr>
        <w:tc>
          <w:tcPr>
            <w:tcW w:type="dxa" w:w="2340"/>
          </w:tcPr>
          <w:p>
            <w:r>
              <w:t>Powder Coating (sq ft)</w:t>
            </w:r>
          </w:p>
        </w:tc>
        <w:tc>
          <w:tcPr>
            <w:tcW w:type="dxa" w:w="2340"/>
          </w:tcPr>
          <w:p>
            <w:r>
              <w:t>5.09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$5.88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$29.93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77.59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$62.91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$4,881.19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9.54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$108.24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$1,032.61</w:t>
            </w:r>
          </w:p>
        </w:tc>
      </w:tr>
      <w:tr>
        <w:tc>
          <w:tcPr>
            <w:tcW w:type="dxa" w:w="2340"/>
          </w:tcPr>
          <w:p>
            <w:r>
              <w:t>CNC Machining (hour)</w:t>
            </w:r>
          </w:p>
        </w:tc>
        <w:tc>
          <w:tcPr>
            <w:tcW w:type="dxa" w:w="2340"/>
          </w:tcPr>
          <w:p>
            <w:r>
              <w:t>57.83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$104.99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$6,071.57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$170,149.96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NY Sales Tax (8.52%):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$14,496.78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$184,646.74</w:t>
            </w:r>
          </w:p>
        </w:tc>
      </w:tr>
    </w:tbl>
    <w:p/>
    <w:p>
      <w:pPr>
        <w:pStyle w:val="IntenseQuote"/>
      </w:pPr>
      <w:r>
        <w:t>All materials conform to ASTM standards. Certifications available upon request.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