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Visionary AIA</w:t>
        <w:br/>
      </w:r>
      <w:r>
        <w:t>Ria-Fritsch-Ring 46</w:t>
        <w:br/>
      </w:r>
      <w:r>
        <w:t>Finsterwalde,  65763</w:t>
        <w:br/>
      </w:r>
      <w:r>
        <w:t>05050844432 | billing@visionaryaia.com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INV-88139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October 09,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November 08,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Rogge KG</w:t>
        <w:br/>
      </w:r>
      <w:r>
        <w:t>Reimer-Löwer-Gasse 1-7</w:t>
        <w:br/>
      </w:r>
      <w:r>
        <w:t>Kelheim,  80858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Schematic Design (% of project)</w:t>
            </w:r>
          </w:p>
        </w:tc>
        <w:tc>
          <w:tcPr>
            <w:tcW w:type="dxa" w:w="2340"/>
          </w:tcPr>
          <w:p>
            <w:r>
              <w:t>59.29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$15.73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$932.63</w:t>
            </w:r>
          </w:p>
        </w:tc>
      </w:tr>
      <w:tr>
        <w:tc>
          <w:tcPr>
            <w:tcW w:type="dxa" w:w="2340"/>
          </w:tcPr>
          <w:p>
            <w:r>
              <w:t>Site Visits (visit)</w:t>
            </w:r>
          </w:p>
        </w:tc>
        <w:tc>
          <w:tcPr>
            <w:tcW w:type="dxa" w:w="2340"/>
          </w:tcPr>
          <w:p>
            <w:r>
              <w:t>29.54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$831.80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$24,571.37</w:t>
            </w:r>
          </w:p>
        </w:tc>
      </w:tr>
      <w:tr>
        <w:tc>
          <w:tcPr>
            <w:tcW w:type="dxa" w:w="2340"/>
          </w:tcPr>
          <w:p>
            <w:r>
              <w:t>Project Architect (hour)</w:t>
            </w:r>
          </w:p>
        </w:tc>
        <w:tc>
          <w:tcPr>
            <w:tcW w:type="dxa" w:w="2340"/>
          </w:tcPr>
          <w:p>
            <w:r>
              <w:t>16.17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$128.25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$2,073.80</w:t>
            </w:r>
          </w:p>
        </w:tc>
      </w:tr>
      <w:tr>
        <w:tc>
          <w:tcPr>
            <w:tcW w:type="dxa" w:w="2340"/>
          </w:tcPr>
          <w:p>
            <w:r>
              <w:t>Design Development (% of project)</w:t>
            </w:r>
          </w:p>
        </w:tc>
        <w:tc>
          <w:tcPr>
            <w:tcW w:type="dxa" w:w="2340"/>
          </w:tcPr>
          <w:p>
            <w:r>
              <w:t>39.19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$26.18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$1,025.99</w:t>
            </w:r>
          </w:p>
        </w:tc>
      </w:tr>
      <w:tr>
        <w:tc>
          <w:tcPr>
            <w:tcW w:type="dxa" w:w="2340"/>
          </w:tcPr>
          <w:p>
            <w:r>
              <w:t>Schematic Design (% of project)</w:t>
            </w:r>
          </w:p>
        </w:tc>
        <w:tc>
          <w:tcPr>
            <w:tcW w:type="dxa" w:w="2340"/>
          </w:tcPr>
          <w:p>
            <w:r>
              <w:t>62.10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$17.50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$1,086.75</w:t>
            </w:r>
          </w:p>
        </w:tc>
      </w:tr>
      <w:tr>
        <w:tc>
          <w:tcPr>
            <w:tcW w:type="dxa" w:w="2340"/>
          </w:tcPr>
          <w:p>
            <w:r>
              <w:t>Project Architect (hour)</w:t>
            </w:r>
          </w:p>
        </w:tc>
        <w:tc>
          <w:tcPr>
            <w:tcW w:type="dxa" w:w="2340"/>
          </w:tcPr>
          <w:p>
            <w:r>
              <w:t>97.80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$156.91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$15,345.80</w:t>
            </w:r>
          </w:p>
        </w:tc>
      </w:tr>
      <w:tr>
        <w:tc>
          <w:tcPr>
            <w:tcW w:type="dxa" w:w="2340"/>
          </w:tcPr>
          <w:p>
            <w:r>
              <w:t>Construction Documents (% of project)</w:t>
            </w:r>
          </w:p>
        </w:tc>
        <w:tc>
          <w:tcPr>
            <w:tcW w:type="dxa" w:w="2340"/>
          </w:tcPr>
          <w:p>
            <w:r>
              <w:t>80.09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$48.21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$3,861.14</w:t>
            </w:r>
          </w:p>
        </w:tc>
      </w:tr>
      <w:tr>
        <w:tc>
          <w:tcPr>
            <w:tcW w:type="dxa" w:w="2340"/>
          </w:tcPr>
          <w:p>
            <w:r>
              <w:t>Design Development (% of project)</w:t>
            </w:r>
          </w:p>
        </w:tc>
        <w:tc>
          <w:tcPr>
            <w:tcW w:type="dxa" w:w="2340"/>
          </w:tcPr>
          <w:p>
            <w:r>
              <w:t>26.48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$29.40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$778.51</w:t>
            </w:r>
          </w:p>
        </w:tc>
      </w:tr>
      <w:tr>
        <w:tc>
          <w:tcPr>
            <w:tcW w:type="dxa" w:w="2340"/>
          </w:tcPr>
          <w:p>
            <w:r>
              <w:t>Construction Documents (% of project)</w:t>
            </w:r>
          </w:p>
        </w:tc>
        <w:tc>
          <w:tcPr>
            <w:tcW w:type="dxa" w:w="2340"/>
          </w:tcPr>
          <w:p>
            <w:r>
              <w:t>25.57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$44.23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$1,130.96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$50,806.95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VAT (21%):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$10,669.46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$61,476.41</w:t>
            </w:r>
          </w:p>
        </w:tc>
      </w:tr>
    </w:tbl>
    <w:p/>
    <w:p>
      <w:pPr>
        <w:pStyle w:val="IntenseQuote"/>
      </w:pPr>
      <w:r>
        <w:t>Architectural services per AIA B101 agreement dated 2025-10-09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