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Legal &amp; Retention Policy (DOCX)</w:t>
      </w:r>
    </w:p>
    <w:p>
      <w:r>
        <w:t>Contracts and NDAs must be retained for 7 years from the date of termination.</w:t>
      </w:r>
    </w:p>
    <w:p>
      <w:r>
        <w:t>Customer support email attachments older than 365 days must be purged unless a legal hold exists.</w:t>
      </w:r>
    </w:p>
    <w:p>
      <w:r>
        <w:t>Do not store export-controlled technical data in shared drives; use approved repositories only.</w:t>
      </w:r>
    </w:p>
    <w:p>
      <w:r>
        <w:t>If a legal hold is active, disable automatic deletion until release is recorded by Legal.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