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We firstly thank the boards for their comments, and note the extremely positive nature of many of the remarks, namely comments a to f, m, and n, which highlight the strong connections to the Dutch research community, the expertise of the invited participants, the structure of the programme, and the relevance of the goals of the programme. Below, we address other comments.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General</w:t>
      </w:r>
    </w:p>
    <w:p w:rsidR="00000000" w:rsidDel="00000000" w:rsidP="00000000" w:rsidRDefault="00000000" w:rsidRPr="00000000" w14:paraId="00000004">
      <w:pPr>
        <w:contextualSpacing w:val="0"/>
        <w:rPr/>
      </w:pPr>
      <w:r w:rsidDel="00000000" w:rsidR="00000000" w:rsidRPr="00000000">
        <w:rPr>
          <w:rtl w:val="0"/>
        </w:rPr>
        <w:t xml:space="preserve">Within the general remarks, two commenters noted that the proposal was difficult to judge from a purely physics perspective (comments h and i). As commenter g suggests, we restrict to a particular set of topics rather than trying to include everything. Furthermore, links between category theory and mathematical physics are already well developed and the aim of the workshop is to create stronger links between category theory and the less obvious applications like linguistics or game theory.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Comment j queries whether the workshop is aimed at researchers familiar with category theory or those from other disciplines. The aim of the workshop is to instigate a multidisciplinary research programme. As such, the aim of the workshop as it stands is to connect people currently working on different aspects of applied category theory, but with the long-term aim of introducing people new to the field. Since both workshop and tutorial weeks are planned, the workshop week will cater to those with experience in working with categories, whereas the tutorial week will enable researchers from other disciplines to participate.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Comment k: we will expand to sixteen students split into four groups, each group led by one of the four tutorial lecturers. All students will attend all talks, but will also focus on a research problem set by the lecturer. There will be an open call for applications, requiring a statement of interest, academic CV, and recommendation letter.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Programme</w:t>
      </w:r>
    </w:p>
    <w:p w:rsidR="00000000" w:rsidDel="00000000" w:rsidP="00000000" w:rsidRDefault="00000000" w:rsidRPr="00000000" w14:paraId="0000000B">
      <w:pPr>
        <w:contextualSpacing w:val="0"/>
        <w:rPr/>
      </w:pPr>
      <w:r w:rsidDel="00000000" w:rsidR="00000000" w:rsidRPr="00000000">
        <w:rPr>
          <w:rtl w:val="0"/>
        </w:rPr>
        <w:t xml:space="preserve">Comment l mentions the ambitious nature of the programme. We argue that the state of research in applied category theory is ripe for this type of ambitious programme, as backed up by the positive comments m and n. There are a large number of researchers and graduate students in the area, and the ability to make relevant connections and to learn about both underlying theory and the very newest research will form a firm foundation for burgeoning research, shored up by </w:t>
      </w:r>
      <w:r w:rsidDel="00000000" w:rsidR="00000000" w:rsidRPr="00000000">
        <w:rPr>
          <w:rtl w:val="0"/>
        </w:rPr>
        <w:t xml:space="preserve">plans for follow-up conferences, plans for volumes of commissioned chapters to bring young people into the area, and a network scheme to help young people travel between active nodes in applied category theory, as described in the proposal.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Participants</w:t>
      </w:r>
    </w:p>
    <w:p w:rsidR="00000000" w:rsidDel="00000000" w:rsidP="00000000" w:rsidRDefault="00000000" w:rsidRPr="00000000" w14:paraId="0000000E">
      <w:pPr>
        <w:contextualSpacing w:val="0"/>
        <w:rPr/>
      </w:pPr>
      <w:r w:rsidDel="00000000" w:rsidR="00000000" w:rsidRPr="00000000">
        <w:rPr>
          <w:rtl w:val="0"/>
        </w:rPr>
        <w:t xml:space="preserve">Comments o and p query the balance and number of participants confirmed. All participants and speakers listed for the workshop week have responded positively to invitations. The invitations have been balanced across the three proposed themes.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Comments q and r suggest further names for lecturers and participants. Invitations will be issued to these researchers.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Whilst comment s states that we have not included researchers new to the field, comment t recognises that we have focussed attention towards including a large number of younger researchers. We recognise that the overall number of female researchers is low, as highlighted by comments t and u, however at a ratio of one in six we are confident that this reflects the demographic makeup of the field, and further recruitment of participants will be focused towards women.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In particular, we will have at least two of eight keynote talks, and three of eight short talks, given by women. In addition to those listed in the proposal, we will approach Mehrnoosh Sadrzadeh, Nicoletta Sabadini, and Simona Paoli for these talks.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Budget</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Comment v suggests applying for extra funding. We will be able to supplement the budget from personal grants for Prof. Bob Coecke and Dr. Jamie Vicary, and also from network grants, which are currently pending. We will consider applying to NWO (pending advice from the Lorentz Center), the John Fell Fund, and FQXi for travel funds. Additional funding gained will be focused on funding student travel and accommodation in the first instance.</w:t>
      </w:r>
      <w:r w:rsidDel="00000000" w:rsidR="00000000" w:rsidRPr="00000000">
        <w:rPr>
          <w:rtl w:val="0"/>
        </w:rPr>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Response to Comments on Lorentz Center Application</w:t>
      <w:br w:type="textWrapping"/>
      <w:t xml:space="preserve">“Applied Category Theory”, 16128@S -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