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lang w:val="es-ES"/>
        </w:rPr>
      </w:pPr>
      <w:bookmarkStart w:id="0" w:name="__RefHeading___Toc31673_2034561403"/>
      <w:bookmarkEnd w:id="0"/>
      <w:r>
        <w:rPr>
          <w:rFonts w:eastAsia="Times New Roman"/>
          <w:lang w:val="es-ES"/>
        </w:rPr>
        <w:t># 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base,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
        </w:numPr>
        <w:spacing w:before="280" w:after="0"/>
        <w:rPr>
          <w:rFonts w:eastAsia="Times New Roman"/>
          <w:lang w:val="es-ES"/>
        </w:rPr>
      </w:pPr>
      <w:r>
        <w:rPr>
          <w:rFonts w:eastAsia="Times New Roman"/>
          <w:lang w:val="es-ES"/>
        </w:rPr>
        <w:t>Prueba T</w:t>
      </w:r>
    </w:p>
    <w:p>
      <w:pPr>
        <w:pStyle w:val="Normal"/>
        <w:numPr>
          <w:ilvl w:val="0"/>
          <w:numId w:val="1"/>
        </w:numPr>
        <w:spacing w:before="0" w:after="0"/>
        <w:rPr>
          <w:rFonts w:eastAsia="Times New Roman"/>
          <w:lang w:val="es-ES"/>
        </w:rPr>
      </w:pPr>
      <w:r>
        <w:rPr>
          <w:rFonts w:eastAsia="Times New Roman"/>
          <w:lang w:val="es-ES"/>
        </w:rPr>
        <w:t>Prueba de Shapiro-Wilk</w:t>
      </w:r>
    </w:p>
    <w:p>
      <w:pPr>
        <w:pStyle w:val="Normal"/>
        <w:numPr>
          <w:ilvl w:val="0"/>
          <w:numId w:val="1"/>
        </w:numPr>
        <w:spacing w:before="0" w:after="0"/>
        <w:rPr>
          <w:rFonts w:eastAsia="Times New Roman"/>
          <w:lang w:val="es-ES"/>
        </w:rPr>
      </w:pPr>
      <w:r>
        <w:rPr>
          <w:rFonts w:eastAsia="Times New Roman"/>
          <w:lang w:val="es-ES"/>
        </w:rPr>
        <w:t>Prueba de suma de rangos de Wilcoxon</w:t>
      </w:r>
    </w:p>
    <w:p>
      <w:pPr>
        <w:pStyle w:val="Normal"/>
        <w:numPr>
          <w:ilvl w:val="0"/>
          <w:numId w:val="1"/>
        </w:numPr>
        <w:spacing w:before="0" w:after="0"/>
        <w:rPr>
          <w:rFonts w:eastAsia="Times New Roman"/>
          <w:lang w:val="es-ES"/>
        </w:rPr>
      </w:pPr>
      <w:r>
        <w:rPr>
          <w:rFonts w:eastAsia="Times New Roman"/>
          <w:lang w:val="es-ES"/>
        </w:rPr>
        <w:t>Prueba de Kruskal-Wallis</w:t>
      </w:r>
    </w:p>
    <w:p>
      <w:pPr>
        <w:pStyle w:val="Normal"/>
        <w:numPr>
          <w:ilvl w:val="0"/>
          <w:numId w:val="1"/>
        </w:numPr>
        <w:spacing w:before="0" w:after="0"/>
        <w:rPr>
          <w:rFonts w:eastAsia="Times New Roman"/>
          <w:lang w:val="es-ES"/>
        </w:rPr>
      </w:pPr>
      <w:r>
        <w:rPr>
          <w:rFonts w:eastAsia="Times New Roman"/>
          <w:lang w:val="es-ES"/>
        </w:rPr>
        <w:t>Prueba de Chi-cuadrado</w:t>
      </w:r>
    </w:p>
    <w:p>
      <w:pPr>
        <w:pStyle w:val="Normal"/>
        <w:numPr>
          <w:ilvl w:val="0"/>
          <w:numId w:val="1"/>
        </w:numPr>
        <w:spacing w:before="0" w:after="280"/>
        <w:rPr>
          <w:rFonts w:eastAsia="Times New Roman"/>
          <w:lang w:val="es-ES"/>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2"/>
        </w:numPr>
        <w:spacing w:before="280" w:after="0"/>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2"/>
        </w:numPr>
        <w:spacing w:before="0" w:after="0"/>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2"/>
        </w:numPr>
        <w:spacing w:before="0" w:after="280"/>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lang w:val="es-ES"/>
        </w:rPr>
      </w:pPr>
      <w:bookmarkStart w:id="1" w:name="__RefHeading___Toc31675_2034561403"/>
      <w:bookmarkEnd w:id="1"/>
      <w:r>
        <w:rPr>
          <w:rFonts w:eastAsia="Times New Roman"/>
          <w:lang w:val="es-ES"/>
        </w:rPr>
        <w:t>Preparación</w:t>
      </w:r>
    </w:p>
    <w:p>
      <w:pPr>
        <w:pStyle w:val="Ttulo3"/>
        <w:spacing w:before="280" w:after="280"/>
        <w:rPr>
          <w:rFonts w:eastAsia="Times New Roman"/>
          <w:lang w:val="es-ES"/>
        </w:rPr>
      </w:pPr>
      <w:bookmarkStart w:id="2" w:name="__RefHeading___Toc32620_485595530"/>
      <w:bookmarkEnd w:id="2"/>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 w:name="__RefHeading___Toc32622_485595530"/>
      <w:bookmarkEnd w:id="3"/>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4" w:name="__RefHeading___Toc31677_2034561403"/>
      <w:bookmarkEnd w:id="4"/>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lang w:val="es-ES"/>
        </w:rPr>
      </w:pPr>
      <w:bookmarkStart w:id="5" w:name="__RefHeading___Toc32624_485595530"/>
      <w:bookmarkEnd w:id="5"/>
      <w:r>
        <w:rPr>
          <w:rFonts w:eastAsia="Times New Roman"/>
          <w:lang w:val="es-ES"/>
        </w:rPr>
        <w:t>Pruebas T</w:t>
      </w:r>
    </w:p>
    <w:p>
      <w:pPr>
        <w:pStyle w:val="Normal"/>
        <w:spacing w:before="280" w:after="280"/>
        <w:rPr/>
      </w:pPr>
      <w:r>
        <w:rPr>
          <w:lang w:val="es-ES"/>
        </w:rPr>
        <w:t xml:space="preserve">Una prueba </w:t>
      </w:r>
      <w:hyperlink r:id="rId3">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lang w:val="es-ES"/>
        </w:rPr>
      </w:pPr>
      <w:bookmarkStart w:id="6" w:name="__RefHeading___Toc32626_485595530"/>
      <w:bookmarkEnd w:id="6"/>
      <w:r>
        <w:rPr>
          <w:rFonts w:eastAsia="Times New Roman"/>
          <w:lang w:val="es-ES"/>
        </w:rPr>
        <w:t>Prueba de Shapiro-Wilk</w:t>
      </w:r>
    </w:p>
    <w:p>
      <w:pPr>
        <w:pStyle w:val="Normal"/>
        <w:spacing w:before="280" w:after="280"/>
        <w:rPr/>
      </w:pPr>
      <w:r>
        <w:rPr>
          <w:lang w:val="es-ES"/>
        </w:rPr>
        <w:t xml:space="preserve">La </w:t>
      </w:r>
      <w:hyperlink r:id="rId4">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5">
        <w:r>
          <w:rPr>
            <w:rStyle w:val="EnlacedeInternet"/>
            <w:lang w:val="es-ES"/>
          </w:rPr>
          <w:t>gráfico de cuantiles</w:t>
        </w:r>
      </w:hyperlink>
      <w:r>
        <w:rPr>
          <w:lang w:val="es-ES"/>
        </w:rPr>
        <w:t>.</w:t>
      </w:r>
    </w:p>
    <w:p>
      <w:pPr>
        <w:pStyle w:val="Ttulo3"/>
        <w:spacing w:before="280" w:after="280"/>
        <w:rPr>
          <w:rFonts w:eastAsia="Times New Roman"/>
          <w:lang w:val="es-ES"/>
        </w:rPr>
      </w:pPr>
      <w:bookmarkStart w:id="7" w:name="__RefHeading___Toc32628_485595530"/>
      <w:bookmarkEnd w:id="7"/>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6">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lang w:val="es-ES"/>
        </w:rPr>
      </w:pPr>
      <w:bookmarkStart w:id="8" w:name="__RefHeading___Toc32630_485595530"/>
      <w:bookmarkEnd w:id="8"/>
      <w:r>
        <w:rPr>
          <w:rFonts w:eastAsia="Times New Roman"/>
          <w:lang w:val="es-ES"/>
        </w:rPr>
        <w:t>Prueba de Kruskal-Wallis</w:t>
      </w:r>
    </w:p>
    <w:p>
      <w:pPr>
        <w:pStyle w:val="Normal"/>
        <w:spacing w:before="280" w:after="280"/>
        <w:rPr/>
      </w:pPr>
      <w:r>
        <w:rPr>
          <w:lang w:val="es-ES"/>
        </w:rPr>
        <w:t xml:space="preserve">La prueba de </w:t>
      </w:r>
      <w:hyperlink r:id="rId7">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lang w:val="es-ES"/>
        </w:rPr>
      </w:pPr>
      <w:bookmarkStart w:id="9" w:name="__RefHeading___Toc32632_485595530"/>
      <w:bookmarkEnd w:id="9"/>
      <w:r>
        <w:rPr>
          <w:rFonts w:eastAsia="Times New Roman"/>
          <w:lang w:val="es-ES"/>
        </w:rPr>
        <w:t>Prueba de Chi-cuadrado</w:t>
      </w:r>
    </w:p>
    <w:p>
      <w:pPr>
        <w:pStyle w:val="Normal"/>
        <w:spacing w:before="280" w:after="280"/>
        <w:rPr/>
      </w:pPr>
      <w:r>
        <w:rPr>
          <w:lang w:val="es-ES"/>
        </w:rPr>
        <w:t xml:space="preserve">La </w:t>
      </w:r>
      <w:hyperlink r:id="rId8">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pPr>
      <w:bookmarkStart w:id="10" w:name="__RefHeading___Toc31679_2034561403"/>
      <w:bookmarkEnd w:id="10"/>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lang w:val="es-ES"/>
        </w:rPr>
      </w:pPr>
      <w:bookmarkStart w:id="11" w:name="__RefHeading___Toc32634_485595530"/>
      <w:bookmarkEnd w:id="11"/>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lang w:val="es-ES"/>
        </w:rPr>
      </w:pPr>
      <w:bookmarkStart w:id="12" w:name="__RefHeading___Toc32636_485595530"/>
      <w:bookmarkEnd w:id="12"/>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lang w:val="es-ES"/>
        </w:rPr>
      </w:pPr>
      <w:bookmarkStart w:id="13" w:name="__RefHeading___Toc32638_485595530"/>
      <w:bookmarkEnd w:id="13"/>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lang w:val="es-ES"/>
        </w:rPr>
      </w:pPr>
      <w:bookmarkStart w:id="14" w:name="__RefHeading___Toc32640_485595530"/>
      <w:bookmarkEnd w:id="14"/>
      <w:r>
        <w:rPr>
          <w:rFonts w:eastAsia="Times New Roman"/>
          <w:lang w:val="es-ES"/>
        </w:rPr>
        <w:t>Prueba de suma de rangos de Wilcoxon</w:t>
      </w:r>
    </w:p>
    <w:p>
      <w:pPr>
        <w:pStyle w:val="Ttulo3"/>
        <w:spacing w:before="280" w:after="280"/>
        <w:rPr>
          <w:rFonts w:eastAsia="Times New Roman"/>
          <w:lang w:val="es-ES"/>
        </w:rPr>
      </w:pPr>
      <w:bookmarkStart w:id="15" w:name="__RefHeading___Toc32642_485595530"/>
      <w:bookmarkEnd w:id="15"/>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lang w:val="es-ES"/>
        </w:rPr>
      </w:pPr>
      <w:bookmarkStart w:id="16" w:name="__RefHeading___Toc32644_485595530"/>
      <w:bookmarkEnd w:id="16"/>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Consulta la documentación de </w:t>
      </w:r>
      <w:r>
        <w:rPr>
          <w:rStyle w:val="Strong"/>
          <w:lang w:val="es-ES"/>
        </w:rPr>
        <w:t xml:space="preserve">rstatix </w:t>
      </w:r>
      <w:hyperlink r:id="rId9">
        <w:r>
          <w:rPr>
            <w:rStyle w:val="EnlacedeInternet"/>
            <w:lang w:val="es-ES"/>
          </w:rPr>
          <w:t xml:space="preserve">en línea aquí </w:t>
        </w:r>
      </w:hyperlink>
      <w:r>
        <w:rPr>
          <w:lang w:val="es-ES"/>
        </w:rPr>
        <w:t>o introduciendo ?rstatix.</w:t>
      </w:r>
    </w:p>
    <w:p>
      <w:pPr>
        <w:pStyle w:val="Ttulo2"/>
        <w:spacing w:before="280" w:after="280"/>
        <w:rPr/>
      </w:pPr>
      <w:bookmarkStart w:id="17" w:name="__RefHeading___Toc31681_2034561403"/>
      <w:bookmarkEnd w:id="17"/>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lang w:val="es-ES"/>
        </w:rPr>
      </w:pPr>
      <w:bookmarkStart w:id="18" w:name="__RefHeading___Toc32646_485595530"/>
      <w:bookmarkEnd w:id="18"/>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lang w:val="es-ES"/>
        </w:rPr>
      </w:pPr>
      <w:bookmarkStart w:id="19" w:name="__RefHeading___Toc32648_485595530"/>
      <w:bookmarkEnd w:id="19"/>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lang w:val="es-ES"/>
        </w:rPr>
      </w:pPr>
      <w:bookmarkStart w:id="20" w:name="__RefHeading___Toc32650_485595530"/>
      <w:bookmarkEnd w:id="20"/>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lang w:val="es-ES"/>
        </w:rPr>
      </w:pPr>
      <w:bookmarkStart w:id="21" w:name="__RefHeading___Toc32652_485595530"/>
      <w:bookmarkEnd w:id="21"/>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lang w:val="es-ES"/>
        </w:rPr>
      </w:pPr>
      <w:bookmarkStart w:id="22" w:name="__RefHeading___Toc31683_2034561403"/>
      <w:bookmarkEnd w:id="22"/>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lang w:val="es-ES"/>
        </w:rPr>
      </w:pPr>
      <w:bookmarkStart w:id="23" w:name="__RefHeading___Toc31685_2034561403"/>
      <w:bookmarkEnd w:id="23"/>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10">
        <w:r>
          <w:rPr>
            <w:rStyle w:val="EnlacedeInternet"/>
          </w:rPr>
          <w:t xml:space="preserve">gtsummary </w:t>
        </w:r>
      </w:hyperlink>
      <w:hyperlink r:id="rId11">
        <w:r>
          <w:rPr>
            <w:rStyle w:val="EnlacedeInternet"/>
          </w:rPr>
          <w:t xml:space="preserve">dplyr </w:t>
        </w:r>
      </w:hyperlink>
      <w:hyperlink r:id="rId12">
        <w:r>
          <w:rPr>
            <w:rStyle w:val="EnlacedeInternet"/>
          </w:rPr>
          <w:t xml:space="preserve">corrr </w:t>
        </w:r>
      </w:hyperlink>
      <w:hyperlink r:id="rId13">
        <w:r>
          <w:rPr>
            <w:rStyle w:val="EnlacedeInternet"/>
          </w:rPr>
          <w:t>sthda correlación</w:t>
        </w:r>
      </w:hyperlink>
    </w:p>
    <w:p>
      <w:pPr>
        <w:pStyle w:val="Ttulo1"/>
        <w:spacing w:before="280" w:after="280"/>
        <w:rPr>
          <w:rFonts w:eastAsia="Times New Roman"/>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pirhandbook/Epi_R_handbook/raw/master/data/case_linelists/linelist_cleaned.rds" TargetMode="External"/><Relationship Id="rId3" Type="http://schemas.openxmlformats.org/officeDocument/2006/relationships/hyperlink" Target="https://en.wikipedia.org/wiki/Student&apos;s_t-test" TargetMode="External"/><Relationship Id="rId4" Type="http://schemas.openxmlformats.org/officeDocument/2006/relationships/hyperlink" Target="https://en.wikipedia.org/wiki/Shapiro&#8211;Wilk_test" TargetMode="External"/><Relationship Id="rId5" Type="http://schemas.openxmlformats.org/officeDocument/2006/relationships/hyperlink" Target="https://ggplot2.tidyverse.org/reference/geom_qq.html" TargetMode="External"/><Relationship Id="rId6" Type="http://schemas.openxmlformats.org/officeDocument/2006/relationships/hyperlink" Target="https://en.wikipedia.org/wiki/Mann&#8211;Whitney_U_test" TargetMode="External"/><Relationship Id="rId7" Type="http://schemas.openxmlformats.org/officeDocument/2006/relationships/hyperlink" Target="https://en.wikipedia.org/wiki/Kruskal&#8211;Wallis_one-way_analysis_of_variance" TargetMode="External"/><Relationship Id="rId8" Type="http://schemas.openxmlformats.org/officeDocument/2006/relationships/hyperlink" Target="https://en.wikipedia.org/wiki/Chi-squared_test" TargetMode="External"/><Relationship Id="rId9" Type="http://schemas.openxmlformats.org/officeDocument/2006/relationships/hyperlink" Target="https://github.com/kassambara/rstatix" TargetMode="External"/><Relationship Id="rId10" Type="http://schemas.openxmlformats.org/officeDocument/2006/relationships/hyperlink" Target="http://www.danieldsjoberg.com/gtsummary/articles/tbl_summary.html" TargetMode="External"/><Relationship Id="rId11" Type="http://schemas.openxmlformats.org/officeDocument/2006/relationships/hyperlink" Target="https://dplyr.tidyverse.org/articles/grouping.html" TargetMode="External"/><Relationship Id="rId12" Type="http://schemas.openxmlformats.org/officeDocument/2006/relationships/hyperlink" Target="https://corrr.tidymodels.org/articles/using-corrr.html" TargetMode="External"/><Relationship Id="rId13" Type="http://schemas.openxmlformats.org/officeDocument/2006/relationships/hyperlink" Target="http://www.sthda.com/english/wiki/correlation-test-between-two-variables-in-r"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3956</TotalTime>
  <Application>LibreOffice/6.4.7.2$Linux_X86_64 LibreOffice_project/40$Build-2</Application>
  <Pages>5</Pages>
  <Words>1333</Words>
  <Characters>7321</Characters>
  <CharactersWithSpaces>8574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2021-09-20T23:06:18Z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