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7B2546">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t xml:space="preserve">Menyeimbangkan dataset yang ada dengan </w:t>
      </w:r>
      <w:r w:rsidRPr="00BF1848">
        <w:rPr>
          <w:rFonts w:ascii="Times New Roman" w:eastAsia="Times New Roman" w:cs="Times New Roman"/>
          <w:bCs/>
          <w:i/>
          <w:color w:val="000000" w:themeColor="text1"/>
          <w:sz w:val="24"/>
          <w:szCs w:val="24"/>
          <w:lang w:val="en-US"/>
        </w:rPr>
        <w:t>preprocessing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Pr="00BF1848">
        <w:rPr>
          <w:rFonts w:ascii="Times New Roman" w:eastAsia="Times New Roman" w:cs="Times New Roman"/>
          <w:bCs/>
          <w:i/>
          <w:color w:val="000000" w:themeColor="text1"/>
          <w:sz w:val="24"/>
          <w:szCs w:val="24"/>
          <w:lang w:val="en-US"/>
        </w:rPr>
        <w:t>resampling</w:t>
      </w:r>
      <w:r>
        <w:rPr>
          <w:rFonts w:ascii="Times New Roman" w:eastAsia="Times New Roman" w:cs="Times New Roman"/>
          <w:bCs/>
          <w:color w:val="000000" w:themeColor="text1"/>
          <w:sz w:val="24"/>
          <w:szCs w:val="24"/>
          <w:lang w:val="en-US"/>
        </w:rPr>
        <w:t xml:space="preserve"> karena dataset yang diperoleh cukup kecil.</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0A7A37"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447.7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w:t>
      </w:r>
      <w:r w:rsidR="003F737E">
        <w:rPr>
          <w:rFonts w:ascii="Times New Roman" w:eastAsia="Times New Roman" w:cs="Times New Roman"/>
          <w:bCs/>
          <w:color w:val="000000" w:themeColor="text1"/>
          <w:sz w:val="24"/>
          <w:szCs w:val="24"/>
          <w:lang w:val="en-US"/>
        </w:rPr>
        <w:t>er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4732D5">
        <w:trPr>
          <w:trHeight w:val="340"/>
        </w:trPr>
        <w:tc>
          <w:tcPr>
            <w:tcW w:w="1214"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terdapat 176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dimana sebanyak 130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120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134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ambar 3.2 terlihat sebuah interface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992C26" w:rsidRDefault="00992C26"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2E7DD5B5" wp14:editId="2C7C562C">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92C26" w:rsidRPr="00C37817" w:rsidRDefault="00992C26"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992C26" w:rsidRDefault="00992C26"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992C26" w:rsidRPr="00C37817" w:rsidRDefault="00992C26"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992C26" w:rsidRDefault="00992C26"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user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50193B" w:rsidRDefault="0050193B" w:rsidP="00992C2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56</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75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49</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52</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83</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139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lastRenderedPageBreak/>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 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E477CB" w:rsidRPr="00E477CB">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992C26" w:rsidRDefault="00992C26"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0A7A37"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5.75pt;height:248.25pt">
            <v:imagedata r:id="rId14" o:title="Untitled Diagram (1)"/>
          </v:shape>
        </w:pict>
      </w:r>
    </w:p>
    <w:p w:rsidR="006547AD" w:rsidRPr="006B676B" w:rsidRDefault="00E477CB"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Flow Preprocessing</w:t>
      </w:r>
      <w:r w:rsidR="006547AD" w:rsidRPr="000F4536">
        <w:rPr>
          <w:rFonts w:ascii="Times New Roman" w:eastAsia="Times New Roman" w:cs="Times New Roman"/>
          <w:bCs/>
          <w:color w:val="000000" w:themeColor="text1"/>
          <w:sz w:val="24"/>
          <w:szCs w:val="24"/>
          <w:lang w:val="en-US"/>
        </w:rPr>
        <w:t xml:space="preserve"> data</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user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E477CB" w:rsidRPr="00E477CB">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F51F375" wp14:editId="35F5B63B">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080FF9" w:rsidRDefault="00360D5A"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360D5A" w:rsidRPr="00080FF9" w:rsidRDefault="00360D5A"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080FF9" w:rsidRDefault="00360D5A"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360D5A" w:rsidRPr="00080FF9" w:rsidRDefault="00360D5A"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F130D86" wp14:editId="68FA7E4E">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392918" w:rsidRDefault="00360D5A"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360D5A" w:rsidRPr="00392918" w:rsidRDefault="00360D5A"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28D99DC0" wp14:editId="3F859303">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392918" w:rsidRDefault="00360D5A"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360D5A" w:rsidRPr="002261C6" w:rsidRDefault="00360D5A"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360D5A" w:rsidRPr="00392918" w:rsidRDefault="00360D5A"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360D5A" w:rsidRPr="002261C6" w:rsidRDefault="00360D5A"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Pr="00450CCF">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E0146D" wp14:editId="2A7C702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2261C6" w:rsidRDefault="00360D5A"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360D5A" w:rsidRPr="002261C6" w:rsidRDefault="00360D5A"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2F74D9" w:rsidRDefault="00360D5A"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360D5A" w:rsidRPr="002F74D9" w:rsidRDefault="00360D5A"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ED11CC9" wp14:editId="174A39C4">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E34AB4" w:rsidRDefault="00360D5A"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360D5A" w:rsidRPr="00E34AB4" w:rsidRDefault="00360D5A"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E34AB4" w:rsidRDefault="00360D5A"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360D5A" w:rsidRPr="00E34AB4" w:rsidRDefault="00360D5A"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DF3E74" w:rsidRDefault="00360D5A"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360D5A" w:rsidRPr="00DF3E74" w:rsidRDefault="00360D5A"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4D6A11" w:rsidRDefault="00360D5A"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360D5A" w:rsidRDefault="00360D5A"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360D5A" w:rsidRPr="004D6A11" w:rsidRDefault="00360D5A"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360D5A" w:rsidRDefault="00360D5A"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C5C966" wp14:editId="79CC37B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FF277C" w:rsidRDefault="00360D5A"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360D5A" w:rsidRPr="00FF277C" w:rsidRDefault="00360D5A"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adalah melakukan terjemahan terhadap teks yang merupakan bahasa Indonesia. Proses translasi ini dilakukan secara manual dan menggunakan bantuan Google Translate.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0B636BD3" wp14:editId="002C397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360D5A" w:rsidRPr="00FF277C" w:rsidRDefault="00360D5A"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FF277C" w:rsidRDefault="00360D5A"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360D5A" w:rsidRPr="00FF277C" w:rsidRDefault="00360D5A"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Pr>
          <w:rFonts w:ascii="Times New Roman" w:eastAsia="Times New Roman" w:cs="Times New Roman"/>
          <w:bCs/>
          <w:color w:val="000000" w:themeColor="text1"/>
          <w:sz w:val="24"/>
          <w:szCs w:val="24"/>
          <w:lang w:val="en-US"/>
        </w:rPr>
        <w:t>Stemming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921DED2" wp14:editId="336DFD26">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055136" w:rsidRDefault="00360D5A"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360D5A" w:rsidRPr="00055136" w:rsidRDefault="00360D5A"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263CD2" w:rsidRDefault="00360D5A"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360D5A" w:rsidRPr="00263CD2" w:rsidRDefault="00360D5A"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4877F8C" wp14:editId="5D34CA24">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0A4406" w:rsidRDefault="00360D5A"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360D5A" w:rsidRPr="000A4406" w:rsidRDefault="00360D5A"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0A4406" w:rsidRDefault="00360D5A"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360D5A" w:rsidRPr="000A4406" w:rsidRDefault="00360D5A"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Pr="00AF505C">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7F6045" w:rsidRDefault="007F6045"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992C26" w:rsidRPr="007F6045"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AF505C" w:rsidRPr="00AF505C">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AF505C" w:rsidRPr="00AF505C">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60D5A" w:rsidRPr="00C37817" w:rsidRDefault="00360D5A">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360D5A" w:rsidRPr="00C37817" w:rsidRDefault="00360D5A">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user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user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45573B" w:rsidRPr="0045573B" w:rsidRDefault="0045573B" w:rsidP="0045573B">
      <w:pPr>
        <w:spacing w:after="0" w:line="360" w:lineRule="auto"/>
        <w:jc w:val="both"/>
        <w:rPr>
          <w:rFonts w:ascii="Times New Roman" w:eastAsia="Times New Roman" w:cs="Times New Roman"/>
          <w:bCs/>
          <w:color w:val="000000" w:themeColor="text1"/>
          <w:sz w:val="24"/>
          <w:szCs w:val="24"/>
          <w:lang w:val="en-US"/>
        </w:rPr>
      </w:pPr>
    </w:p>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Pr="0045573B" w:rsidRDefault="00992C26"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based on frequencies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characters minus spaces and punctuation</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punctuation marks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All linguistic cues in the Parts of Speech category are calculated using a part of speech tagger based on the Brown corpus.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nouns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nouns to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verbs to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adjectives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adjectives to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adverbs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adverbs to the total number of words</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9279"/>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immediacy</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A5435F" w:rsidRPr="00094F8C">
                <w:rPr>
                  <w:rStyle w:val="Hyperlink"/>
                  <w:color w:val="000000" w:themeColor="text1"/>
                </w:rPr>
                <w:t>numPassiveVerbs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passive verbs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A5435F" w:rsidRPr="00094F8C">
                <w:rPr>
                  <w:rStyle w:val="Hyperlink"/>
                  <w:color w:val="000000" w:themeColor="text1"/>
                </w:rPr>
                <w:t>passiveVerbRatio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passive voice verbs to the total number of verbs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count pronoun frequencies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A5435F" w:rsidRPr="00094F8C">
                <w:rPr>
                  <w:rStyle w:val="Hyperlink"/>
                  <w:color w:val="000000" w:themeColor="text1"/>
                </w:rPr>
                <w:t>firstPersonSingular</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singular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A5435F" w:rsidRPr="00094F8C">
                <w:rPr>
                  <w:rStyle w:val="Hyperlink"/>
                  <w:color w:val="000000" w:themeColor="text1"/>
                </w:rPr>
                <w:t>firstPersonSingularRatio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singular words divided by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A5435F" w:rsidRPr="00094F8C">
                <w:rPr>
                  <w:rStyle w:val="Hyperlink"/>
                  <w:color w:val="000000" w:themeColor="text1"/>
                </w:rPr>
                <w:t>firstPersonPlural</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plural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A5435F" w:rsidRPr="00094F8C">
                <w:rPr>
                  <w:rStyle w:val="Hyperlink"/>
                  <w:color w:val="000000" w:themeColor="text1"/>
                </w:rPr>
                <w:t>firstPersonPluralRatio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first person plural words divided by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A5435F" w:rsidRPr="00094F8C">
                <w:rPr>
                  <w:rStyle w:val="Hyperlink"/>
                  <w:color w:val="000000" w:themeColor="text1"/>
                </w:rPr>
                <w:t>secondPerson</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second person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A5435F" w:rsidRPr="00094F8C">
                <w:rPr>
                  <w:rStyle w:val="Hyperlink"/>
                  <w:color w:val="000000" w:themeColor="text1"/>
                </w:rPr>
                <w:t>secondPersonRatio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second person words divided by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A5435F" w:rsidRPr="00094F8C">
                <w:rPr>
                  <w:rStyle w:val="Hyperlink"/>
                  <w:color w:val="000000" w:themeColor="text1"/>
                </w:rPr>
                <w:t>thirdPersonSingular</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Total number of third person </w:t>
            </w:r>
            <w:proofErr w:type="spellStart"/>
            <w:r w:rsidRPr="00094F8C">
              <w:rPr>
                <w:color w:val="000000" w:themeColor="text1"/>
              </w:rPr>
              <w:t>singluar</w:t>
            </w:r>
            <w:proofErr w:type="spellEnd"/>
            <w:r w:rsidRPr="00094F8C">
              <w:rPr>
                <w:color w:val="000000" w:themeColor="text1"/>
              </w:rPr>
              <w:t xml:space="preserve">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A5435F" w:rsidRPr="00094F8C">
                <w:rPr>
                  <w:rStyle w:val="Hyperlink"/>
                  <w:color w:val="000000" w:themeColor="text1"/>
                </w:rPr>
                <w:t>thirdPersonSingularRatio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Total number of third person </w:t>
            </w:r>
            <w:proofErr w:type="spellStart"/>
            <w:r w:rsidRPr="00094F8C">
              <w:rPr>
                <w:color w:val="000000" w:themeColor="text1"/>
              </w:rPr>
              <w:t>singluar</w:t>
            </w:r>
            <w:proofErr w:type="spellEnd"/>
            <w:r w:rsidRPr="00094F8C">
              <w:rPr>
                <w:color w:val="000000" w:themeColor="text1"/>
              </w:rPr>
              <w:t xml:space="preserve"> words divided by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A5435F" w:rsidRPr="00094F8C">
                <w:rPr>
                  <w:rStyle w:val="Hyperlink"/>
                  <w:color w:val="000000" w:themeColor="text1"/>
                </w:rPr>
                <w:t>thirdPersonPlural</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plural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A5435F" w:rsidRPr="00094F8C">
                <w:rPr>
                  <w:rStyle w:val="Hyperlink"/>
                  <w:color w:val="000000" w:themeColor="text1"/>
                </w:rPr>
                <w:t>thirdPersonPluralRatio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third person plural words divided by the total number of words</w:t>
            </w:r>
          </w:p>
        </w:tc>
      </w:tr>
      <w:tr w:rsidR="00A5435F" w:rsidRPr="00094F8C" w:rsidTr="00A5435F">
        <w:trPr>
          <w:trHeight w:val="3530"/>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w:t>
            </w:r>
            <w:r>
              <w:rPr>
                <w:i/>
                <w:iCs/>
                <w:color w:val="000000" w:themeColor="text1"/>
              </w:rPr>
              <w:t>hat relate to the positive self-</w:t>
            </w:r>
            <w:r w:rsidRPr="00094F8C">
              <w:rPr>
                <w:i/>
                <w:iCs/>
                <w:color w:val="000000" w:themeColor="text1"/>
              </w:rPr>
              <w:t>evaluation of a speaker.</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A5435F" w:rsidRPr="00094F8C">
                <w:rPr>
                  <w:rStyle w:val="Hyperlink"/>
                  <w:color w:val="000000" w:themeColor="text1"/>
                </w:rPr>
                <w:t>iCanDoIt</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 can" phrases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A5435F" w:rsidRPr="00094F8C">
                <w:rPr>
                  <w:rStyle w:val="Hyperlink"/>
                  <w:color w:val="000000" w:themeColor="text1"/>
                </w:rPr>
                <w:t>doKnow</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phrases such as "I know", "I am sure", and "I'm positive" appear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A5435F" w:rsidRPr="00094F8C">
                <w:rPr>
                  <w:rStyle w:val="Hyperlink"/>
                  <w:color w:val="000000" w:themeColor="text1"/>
                </w:rPr>
                <w:t>posSelfImage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positively portrays themself in the text (e.g., I am a great guy or I am happy).</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w:t>
            </w:r>
            <w:r>
              <w:rPr>
                <w:i/>
                <w:iCs/>
                <w:color w:val="000000" w:themeColor="text1"/>
              </w:rPr>
              <w:t>hat relate to the negative self-</w:t>
            </w:r>
            <w:r w:rsidRPr="00094F8C">
              <w:rPr>
                <w:i/>
                <w:iCs/>
                <w:color w:val="000000" w:themeColor="text1"/>
              </w:rPr>
              <w:t>evaluation of a speaker.</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A5435F" w:rsidRPr="00094F8C">
                <w:rPr>
                  <w:rStyle w:val="Hyperlink"/>
                  <w:color w:val="000000" w:themeColor="text1"/>
                </w:rPr>
                <w:t>iCantDoIt</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 can't" phrases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A5435F" w:rsidRPr="00094F8C">
                <w:rPr>
                  <w:rStyle w:val="Hyperlink"/>
                  <w:color w:val="000000" w:themeColor="text1"/>
                </w:rPr>
                <w:t>dontKnow</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says they don't know something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A5435F" w:rsidRPr="00094F8C">
                <w:rPr>
                  <w:rStyle w:val="Hyperlink"/>
                  <w:color w:val="000000" w:themeColor="text1"/>
                </w:rPr>
                <w:t>negSelfImage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The total number of times someone portrays themself with a negative </w:t>
            </w:r>
            <w:proofErr w:type="spellStart"/>
            <w:r w:rsidRPr="00094F8C">
              <w:rPr>
                <w:color w:val="000000" w:themeColor="text1"/>
              </w:rPr>
              <w:t>self image</w:t>
            </w:r>
            <w:proofErr w:type="spellEnd"/>
            <w:r w:rsidRPr="00094F8C">
              <w:rPr>
                <w:color w:val="000000" w:themeColor="text1"/>
              </w:rPr>
              <w:t xml:space="preserve"> in the text (e.g., I am ugly or I'm stupid).</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the speaker is attempting to influence someone.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imperative statements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suggestions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"inflexible" statements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someone contradicts what has been stated.</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Dominance language is a summation of inflexible language, imperative sentences, positive </w:t>
            </w:r>
            <w:proofErr w:type="spellStart"/>
            <w:r w:rsidRPr="00094F8C">
              <w:rPr>
                <w:color w:val="000000" w:themeColor="text1"/>
              </w:rPr>
              <w:t>self evaluation</w:t>
            </w:r>
            <w:proofErr w:type="spellEnd"/>
            <w:r w:rsidRPr="00094F8C">
              <w:rPr>
                <w:color w:val="000000" w:themeColor="text1"/>
              </w:rPr>
              <w:t>, suggestions, and inflexible language.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sentences that include dominance language divided by the total number of sentences.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words that signify that the person accepts another's propositions.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words that signify that the person accepts another's propositions divided by the total number of words.</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indicate the speaker is accommodating outside influence.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permission is asked for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times guidance is sought in the text.</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instances of submissiveness language.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total number of sentences that include submissiveness language divided by the total number of sentences.</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 xml:space="preserve">Cues that count returns scores based on the </w:t>
            </w:r>
            <w:proofErr w:type="spellStart"/>
            <w:r w:rsidRPr="00094F8C">
              <w:rPr>
                <w:i/>
                <w:iCs/>
                <w:color w:val="000000" w:themeColor="text1"/>
              </w:rPr>
              <w:t>Whissel</w:t>
            </w:r>
            <w:proofErr w:type="spellEnd"/>
            <w:r w:rsidRPr="00094F8C">
              <w:rPr>
                <w:i/>
                <w:iCs/>
                <w:color w:val="000000" w:themeColor="text1"/>
              </w:rPr>
              <w:t xml:space="preserve"> Dictionary of Affect in Language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imagery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pleasantness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Average activation score.</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relate to text complexity</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Total number of characters </w:t>
            </w:r>
            <w:proofErr w:type="spellStart"/>
            <w:r w:rsidRPr="00094F8C">
              <w:rPr>
                <w:color w:val="000000" w:themeColor="text1"/>
              </w:rPr>
              <w:t>minues</w:t>
            </w:r>
            <w:proofErr w:type="spellEnd"/>
            <w:r w:rsidRPr="00094F8C">
              <w:rPr>
                <w:color w:val="000000" w:themeColor="text1"/>
              </w:rPr>
              <w:t xml:space="preserve"> spaces and punctuation divided by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 divided by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Count of the total number of syllables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syllables divided by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three or more syllables.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three or more syllables divided by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six or more characters.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six or more characters divided by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with seven or more characters.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Total number of words with seven or more </w:t>
            </w:r>
            <w:r w:rsidRPr="00094F8C">
              <w:rPr>
                <w:color w:val="000000" w:themeColor="text1"/>
              </w:rPr>
              <w:lastRenderedPageBreak/>
              <w:t>characters divided by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length of a Set of all the words divided by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Number of three syllable words + number of commas + number of conjunctions + number of singular and mass nouns + number of plural nouns + average </w:t>
            </w:r>
            <w:proofErr w:type="spellStart"/>
            <w:r w:rsidRPr="00094F8C">
              <w:rPr>
                <w:color w:val="000000" w:themeColor="text1"/>
              </w:rPr>
              <w:t>sentance</w:t>
            </w:r>
            <w:proofErr w:type="spellEnd"/>
            <w:r w:rsidRPr="00094F8C">
              <w:rPr>
                <w:color w:val="000000" w:themeColor="text1"/>
              </w:rPr>
              <w:t xml:space="preserve"> length all divided by the number of words.</w:t>
            </w: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relate to a speaking or writing style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that indicate hedging</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conjunctions that indicate hedging</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adjectives that indicate hedging</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modal verbs that indicate hedging</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words that indicate hedging</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The total number of </w:t>
            </w:r>
            <w:proofErr w:type="spellStart"/>
            <w:r w:rsidRPr="00094F8C">
              <w:rPr>
                <w:color w:val="000000" w:themeColor="text1"/>
              </w:rPr>
              <w:t>disfluencies</w:t>
            </w:r>
            <w:proofErr w:type="spellEnd"/>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The rate at which </w:t>
            </w:r>
            <w:proofErr w:type="spellStart"/>
            <w:r w:rsidRPr="00094F8C">
              <w:rPr>
                <w:color w:val="000000" w:themeColor="text1"/>
              </w:rPr>
              <w:t>disfluencies</w:t>
            </w:r>
            <w:proofErr w:type="spellEnd"/>
            <w:r w:rsidRPr="00094F8C">
              <w:rPr>
                <w:color w:val="000000" w:themeColor="text1"/>
              </w:rPr>
              <w:t xml:space="preserve"> appear</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interjections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ratio of total interjections to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The number of speculative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lastRenderedPageBreak/>
              <w:t>The ratio of speculative words to total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adverbs and adjectives divided by the total number of nouns and verbs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phrases indicating ignorance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phrases indicating ignorance divided by the total number of words</w:t>
            </w:r>
          </w:p>
          <w:p w:rsidR="00A5435F" w:rsidRPr="00094F8C" w:rsidRDefault="00A5435F" w:rsidP="00A5435F">
            <w:pPr>
              <w:pStyle w:val="analysisdescription"/>
              <w:shd w:val="clear" w:color="auto" w:fill="FFFFFF"/>
              <w:spacing w:before="0" w:beforeAutospacing="0" w:after="0" w:afterAutospacing="0"/>
              <w:rPr>
                <w:color w:val="000000" w:themeColor="text1"/>
              </w:rPr>
            </w:pP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sentences divided by the total number of punctuation marks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question marks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question marks divided by the total number of sentences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A combination of indefinites, demonstratives, </w:t>
            </w:r>
            <w:proofErr w:type="spellStart"/>
            <w:r w:rsidRPr="00094F8C">
              <w:rPr>
                <w:color w:val="000000" w:themeColor="text1"/>
              </w:rPr>
              <w:t>hedgind</w:t>
            </w:r>
            <w:proofErr w:type="spellEnd"/>
            <w:r w:rsidRPr="00094F8C">
              <w:rPr>
                <w:color w:val="000000" w:themeColor="text1"/>
              </w:rPr>
              <w:t xml:space="preserve"> words, uncertainty words, and the </w:t>
            </w:r>
            <w:proofErr w:type="spellStart"/>
            <w:r w:rsidRPr="00094F8C">
              <w:rPr>
                <w:color w:val="000000" w:themeColor="text1"/>
              </w:rPr>
              <w:t>Loughran</w:t>
            </w:r>
            <w:proofErr w:type="spellEnd"/>
            <w:r w:rsidRPr="00094F8C">
              <w:rPr>
                <w:color w:val="000000" w:themeColor="text1"/>
              </w:rPr>
              <w:t xml:space="preserve"> and McDonald (2011) uncertainty and weak modal dictionaries.</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Counts of verbs of a specific tense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past tense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past tense divided by the total number of words</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present tense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Total number of verbs in the present tense divided by the total number of words.</w:t>
            </w: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 xml:space="preserve">Calculates positivity, negativity, and objectivity based on </w:t>
            </w:r>
            <w:proofErr w:type="spellStart"/>
            <w:r w:rsidRPr="00094F8C">
              <w:rPr>
                <w:i/>
                <w:iCs/>
                <w:color w:val="000000" w:themeColor="text1"/>
              </w:rPr>
              <w:t>Sentiwordnet</w:t>
            </w:r>
            <w:proofErr w:type="spellEnd"/>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Average positivity scored based on </w:t>
            </w:r>
            <w:proofErr w:type="spellStart"/>
            <w:r w:rsidRPr="00094F8C">
              <w:rPr>
                <w:color w:val="000000" w:themeColor="text1"/>
              </w:rPr>
              <w:t>Sentiwordnet</w:t>
            </w:r>
            <w:proofErr w:type="spellEnd"/>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Average negativity scored based on </w:t>
            </w:r>
            <w:proofErr w:type="spellStart"/>
            <w:r w:rsidRPr="00094F8C">
              <w:rPr>
                <w:color w:val="000000" w:themeColor="text1"/>
              </w:rPr>
              <w:t>Sentiwordnet</w:t>
            </w:r>
            <w:proofErr w:type="spellEnd"/>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 xml:space="preserve">Average objectivity scored based on </w:t>
            </w:r>
            <w:proofErr w:type="spellStart"/>
            <w:r w:rsidRPr="00094F8C">
              <w:rPr>
                <w:color w:val="000000" w:themeColor="text1"/>
              </w:rPr>
              <w:t>Sentiwordnet</w:t>
            </w:r>
            <w:proofErr w:type="spellEnd"/>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A5435F" w:rsidRPr="00094F8C" w:rsidRDefault="00A5435F" w:rsidP="00A5435F">
            <w:pPr>
              <w:pStyle w:val="description"/>
              <w:shd w:val="clear" w:color="auto" w:fill="FFFFFF"/>
              <w:spacing w:before="0" w:beforeAutospacing="0" w:after="0" w:afterAutospacing="0"/>
              <w:rPr>
                <w:i/>
                <w:iCs/>
                <w:color w:val="000000" w:themeColor="text1"/>
              </w:rPr>
            </w:pPr>
            <w:r w:rsidRPr="00094F8C">
              <w:rPr>
                <w:i/>
                <w:iCs/>
                <w:color w:val="000000" w:themeColor="text1"/>
              </w:rPr>
              <w:t>Cues that return readability scores; readability scores should be calculated for text passages at least 100 words long</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ARI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FRE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FKGL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lastRenderedPageBreak/>
              <w:t>CLI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LWRF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FOG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SMOG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DALE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LIX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RIX reading index score</w:t>
            </w:r>
          </w:p>
          <w:p w:rsidR="00A5435F" w:rsidRPr="00094F8C" w:rsidRDefault="006E4677"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A5435F" w:rsidP="00A5435F">
            <w:pPr>
              <w:pStyle w:val="analysisdescription"/>
              <w:shd w:val="clear" w:color="auto" w:fill="FFFFFF"/>
              <w:spacing w:before="0" w:beforeAutospacing="0" w:after="0" w:afterAutospacing="0"/>
              <w:rPr>
                <w:color w:val="000000" w:themeColor="text1"/>
              </w:rPr>
            </w:pPr>
            <w:r w:rsidRPr="00094F8C">
              <w:rPr>
                <w:color w:val="000000" w:themeColor="text1"/>
              </w:rPr>
              <w:t>FRY reading index score</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Untuk mengekstraksi nilai dari hasil fitur-fitur SPLICE di atas, peneliti menyiapkan code untuk meng-convert status dari user menjadi fitur SPLICE dengan API yang disediakan oleh SPLICE. Hasil dari fitur tersebut kemudian disimpan ke dalam file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0A7A37"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pict>
          <v:shape id="_x0000_i1027" type="#_x0000_t75" style="width:411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Pr="002B03CE">
        <w:rPr>
          <w:rFonts w:ascii="Times New Roman" w:cs="Times New Roman"/>
          <w:bCs/>
          <w:i/>
          <w:color w:val="000000" w:themeColor="text1"/>
          <w:sz w:val="24"/>
          <w:szCs w:val="24"/>
          <w:lang w:val="en-US"/>
        </w:rPr>
        <w:t>Screenshot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Pr>
          <w:rFonts w:ascii="Times New Roman" w:eastAsia="Times New Roman" w:cs="Times New Roman"/>
          <w:bCs/>
          <w:color w:val="000000" w:themeColor="text1"/>
          <w:sz w:val="24"/>
          <w:szCs w:val="24"/>
        </w:rPr>
        <w:lastRenderedPageBreak/>
        <w:t>(</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0A7A37"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3.75pt;height:78.75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Screenshot hasil fitur SNA dari salah satu </w:t>
      </w:r>
      <w:r w:rsidRPr="004F27FD">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992C26"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992C26" w:rsidRPr="004F27FD" w:rsidRDefault="00992C26"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 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Kemudian, kata-kata dari dataset yang kita kumpulkan dibagi dan dihitung jumlahnya (</w:t>
      </w:r>
      <w:r w:rsidR="00140179" w:rsidRPr="00931B5A">
        <w:rPr>
          <w:rFonts w:ascii="Times New Roman" w:eastAsia="Times New Roman" w:cs="Times New Roman"/>
          <w:bCs/>
          <w:i/>
          <w:color w:val="000000" w:themeColor="text1"/>
          <w:sz w:val="24"/>
          <w:szCs w:val="24"/>
          <w:lang w:val="en-US"/>
        </w:rPr>
        <w:t>word count</w:t>
      </w:r>
      <w:r w:rsidR="00140179">
        <w:rPr>
          <w:rFonts w:ascii="Times New Roman" w:eastAsia="Times New Roman" w:cs="Times New Roman"/>
          <w:bCs/>
          <w:color w:val="000000" w:themeColor="text1"/>
          <w:sz w:val="24"/>
          <w:szCs w:val="24"/>
          <w:lang w:val="en-US"/>
        </w:rPr>
        <w:t xml:space="preserve">). Setiap kata itulah yang dikembangkan menjadi fitur dan dibandingkan dengan </w:t>
      </w:r>
      <w:r w:rsidR="00140179" w:rsidRPr="00931B5A">
        <w:rPr>
          <w:rFonts w:ascii="Times New Roman" w:eastAsia="Times New Roman" w:cs="Times New Roman"/>
          <w:bCs/>
          <w:i/>
          <w:color w:val="000000" w:themeColor="text1"/>
          <w:sz w:val="24"/>
          <w:szCs w:val="24"/>
          <w:lang w:val="en-US"/>
        </w:rPr>
        <w:t>Big Five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mendapatkan hasil akurasi prediksi dan  dibandingkan dengan metode lainnya.</w:t>
      </w: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863408">
      <w:pPr>
        <w:spacing w:after="0" w:line="360" w:lineRule="auto"/>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lastRenderedPageBreak/>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701" w:hanging="425"/>
        <w:jc w:val="both"/>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learning tersebut. Peneliti kemudian mencoba kembali menggunakan proses Deep Learning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(Multilayer Perceptron)</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(Long Short Term Memory)</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(Convolutional Neural Network 1-Dimension)</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(Gated Recurrent Unit)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Default="0022380B" w:rsidP="00A3461D">
      <w:pPr>
        <w:pStyle w:val="ListParagraph"/>
        <w:spacing w:after="0" w:line="360" w:lineRule="auto"/>
        <w:ind w:left="567" w:firstLine="709"/>
        <w:jc w:val="both"/>
        <w:rPr>
          <w:rFonts w:ascii="Times New Roman" w:eastAsia="Times New Roman" w:cs="Times New Roman"/>
          <w:bCs/>
          <w:i/>
          <w:color w:val="000000" w:themeColor="text1"/>
          <w:sz w:val="24"/>
          <w:szCs w:val="24"/>
          <w:lang w:val="en-US"/>
        </w:rPr>
      </w:pPr>
    </w:p>
    <w:p w:rsidR="0022380B" w:rsidRPr="00A3461D" w:rsidRDefault="0022380B"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E2650A" w:rsidRPr="00E2650A">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user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5B2D02" w:rsidRDefault="005B2D02" w:rsidP="005269A2">
      <w:pPr>
        <w:pStyle w:val="ListParagraph"/>
        <w:spacing w:after="0" w:line="360" w:lineRule="auto"/>
        <w:ind w:left="567" w:firstLine="709"/>
        <w:jc w:val="both"/>
        <w:rPr>
          <w:rFonts w:ascii="Times New Roman" w:eastAsia="Times New Roman" w:cs="Times New Roman"/>
          <w:b/>
          <w:bCs/>
          <w:color w:val="000000" w:themeColor="text1"/>
          <w:sz w:val="24"/>
          <w:szCs w:val="24"/>
          <w:lang w:val="en-US"/>
        </w:rPr>
      </w:pPr>
    </w:p>
    <w:p w:rsidR="0022380B" w:rsidRPr="006927DE" w:rsidRDefault="0022380B" w:rsidP="005269A2">
      <w:pPr>
        <w:pStyle w:val="ListParagraph"/>
        <w:spacing w:after="0" w:line="360" w:lineRule="auto"/>
        <w:ind w:left="567" w:firstLine="709"/>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0A7A37"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409.5pt;height:217.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lastRenderedPageBreak/>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bookmarkStart w:id="0" w:name="_GoBack"/>
      <w:bookmarkEnd w:id="0"/>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0A7A37"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pict>
          <v:shape id="_x0000_i1030" type="#_x0000_t75" style="width:410.25pt;height:219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0A7A37"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1" type="#_x0000_t75" style="width:410.25pt;height:219pt">
            <v:imagedata r:id="rId114" o:title="Result page design bottom"/>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0A7A37">
      <w:headerReference w:type="even" r:id="rId115"/>
      <w:headerReference w:type="default" r:id="rId116"/>
      <w:footerReference w:type="first" r:id="rId117"/>
      <w:pgSz w:w="12240" w:h="15840"/>
      <w:pgMar w:top="1418" w:right="1750"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677" w:rsidRDefault="006E4677" w:rsidP="0045667E">
      <w:pPr>
        <w:spacing w:after="0" w:line="240" w:lineRule="auto"/>
      </w:pPr>
      <w:r>
        <w:separator/>
      </w:r>
    </w:p>
  </w:endnote>
  <w:endnote w:type="continuationSeparator" w:id="0">
    <w:p w:rsidR="006E4677" w:rsidRDefault="006E4677"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A37" w:rsidRPr="000A7A37" w:rsidRDefault="000A7A37" w:rsidP="000A7A37">
    <w:pPr>
      <w:pStyle w:val="Footer"/>
      <w:jc w:val="center"/>
      <w:rPr>
        <w:lang w:val="en-US"/>
      </w:rPr>
    </w:pPr>
    <w:r>
      <w:rPr>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677" w:rsidRDefault="006E4677" w:rsidP="0045667E">
      <w:pPr>
        <w:spacing w:after="0" w:line="240" w:lineRule="auto"/>
      </w:pPr>
      <w:r>
        <w:separator/>
      </w:r>
    </w:p>
  </w:footnote>
  <w:footnote w:type="continuationSeparator" w:id="0">
    <w:p w:rsidR="006E4677" w:rsidRDefault="006E4677"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0A7A37" w:rsidRDefault="000A7A37" w:rsidP="000A7A37">
        <w:pPr>
          <w:pStyle w:val="Header"/>
        </w:pPr>
        <w:r>
          <w:rPr>
            <w:noProof w:val="0"/>
          </w:rPr>
          <w:fldChar w:fldCharType="begin"/>
        </w:r>
        <w:r>
          <w:instrText xml:space="preserve"> PAGE   \* MERGEFORMAT </w:instrText>
        </w:r>
        <w:r>
          <w:rPr>
            <w:noProof w:val="0"/>
          </w:rPr>
          <w:fldChar w:fldCharType="separate"/>
        </w:r>
        <w:r>
          <w:t>32</w:t>
        </w:r>
        <w:r>
          <w:fldChar w:fldCharType="end"/>
        </w:r>
      </w:p>
    </w:sdtContent>
  </w:sdt>
  <w:p w:rsidR="000A7A37" w:rsidRPr="000A7A37" w:rsidRDefault="000A7A37">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0A7A37" w:rsidRDefault="000A7A37" w:rsidP="000A7A37">
        <w:pPr>
          <w:pStyle w:val="Header"/>
          <w:jc w:val="right"/>
        </w:pPr>
        <w:r>
          <w:rPr>
            <w:noProof w:val="0"/>
          </w:rPr>
          <w:fldChar w:fldCharType="begin"/>
        </w:r>
        <w:r>
          <w:instrText xml:space="preserve"> PAGE   \* MERGEFORMAT </w:instrText>
        </w:r>
        <w:r>
          <w:rPr>
            <w:noProof w:val="0"/>
          </w:rPr>
          <w:fldChar w:fldCharType="separate"/>
        </w:r>
        <w:r>
          <w:t>31</w:t>
        </w:r>
        <w:r>
          <w:fldChar w:fldCharType="end"/>
        </w:r>
      </w:p>
    </w:sdtContent>
  </w:sdt>
  <w:p w:rsidR="000A7A37" w:rsidRDefault="000A7A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7F6"/>
    <w:rsid w:val="000439F6"/>
    <w:rsid w:val="00055136"/>
    <w:rsid w:val="00080FF9"/>
    <w:rsid w:val="000843B5"/>
    <w:rsid w:val="00094F8C"/>
    <w:rsid w:val="000A4406"/>
    <w:rsid w:val="000A520C"/>
    <w:rsid w:val="000A7A37"/>
    <w:rsid w:val="000C3483"/>
    <w:rsid w:val="000D28FD"/>
    <w:rsid w:val="000F4536"/>
    <w:rsid w:val="00111486"/>
    <w:rsid w:val="00137C66"/>
    <w:rsid w:val="00140179"/>
    <w:rsid w:val="00141CC2"/>
    <w:rsid w:val="00193658"/>
    <w:rsid w:val="001C42BD"/>
    <w:rsid w:val="001D6319"/>
    <w:rsid w:val="001F0ECE"/>
    <w:rsid w:val="00212440"/>
    <w:rsid w:val="0022380B"/>
    <w:rsid w:val="002261C6"/>
    <w:rsid w:val="00263CD2"/>
    <w:rsid w:val="0029286D"/>
    <w:rsid w:val="002A313C"/>
    <w:rsid w:val="002A32E9"/>
    <w:rsid w:val="002B03CE"/>
    <w:rsid w:val="002F74D9"/>
    <w:rsid w:val="00312BDF"/>
    <w:rsid w:val="0032389B"/>
    <w:rsid w:val="003276BB"/>
    <w:rsid w:val="003575FC"/>
    <w:rsid w:val="00360D5A"/>
    <w:rsid w:val="003700CB"/>
    <w:rsid w:val="0037246C"/>
    <w:rsid w:val="003731E2"/>
    <w:rsid w:val="00392918"/>
    <w:rsid w:val="00397B19"/>
    <w:rsid w:val="003B328F"/>
    <w:rsid w:val="003B50F5"/>
    <w:rsid w:val="003D74BF"/>
    <w:rsid w:val="003F737E"/>
    <w:rsid w:val="00405039"/>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80CB7"/>
    <w:rsid w:val="005827AC"/>
    <w:rsid w:val="0058440B"/>
    <w:rsid w:val="0059017A"/>
    <w:rsid w:val="005B22CF"/>
    <w:rsid w:val="005B2D02"/>
    <w:rsid w:val="005E4940"/>
    <w:rsid w:val="00613F39"/>
    <w:rsid w:val="00615BC8"/>
    <w:rsid w:val="00632DEC"/>
    <w:rsid w:val="00635D41"/>
    <w:rsid w:val="006461B4"/>
    <w:rsid w:val="006547AD"/>
    <w:rsid w:val="00661987"/>
    <w:rsid w:val="00690C12"/>
    <w:rsid w:val="006927DE"/>
    <w:rsid w:val="006A09A0"/>
    <w:rsid w:val="006B676B"/>
    <w:rsid w:val="006B6CF8"/>
    <w:rsid w:val="006C149F"/>
    <w:rsid w:val="006E441B"/>
    <w:rsid w:val="006E4677"/>
    <w:rsid w:val="006F02EA"/>
    <w:rsid w:val="00701CFE"/>
    <w:rsid w:val="0072408C"/>
    <w:rsid w:val="00725949"/>
    <w:rsid w:val="00733104"/>
    <w:rsid w:val="00783271"/>
    <w:rsid w:val="007966B4"/>
    <w:rsid w:val="007B2546"/>
    <w:rsid w:val="007B2BCB"/>
    <w:rsid w:val="007C49B5"/>
    <w:rsid w:val="007F6045"/>
    <w:rsid w:val="007F61EA"/>
    <w:rsid w:val="00806611"/>
    <w:rsid w:val="00806824"/>
    <w:rsid w:val="00820406"/>
    <w:rsid w:val="00834E14"/>
    <w:rsid w:val="00840672"/>
    <w:rsid w:val="00857CE7"/>
    <w:rsid w:val="0086134F"/>
    <w:rsid w:val="00863408"/>
    <w:rsid w:val="008861CD"/>
    <w:rsid w:val="008B73A9"/>
    <w:rsid w:val="008D5136"/>
    <w:rsid w:val="009102D8"/>
    <w:rsid w:val="00931B5A"/>
    <w:rsid w:val="009329FB"/>
    <w:rsid w:val="00967920"/>
    <w:rsid w:val="00991EF2"/>
    <w:rsid w:val="00992C26"/>
    <w:rsid w:val="0099528A"/>
    <w:rsid w:val="009A5102"/>
    <w:rsid w:val="009B1C7B"/>
    <w:rsid w:val="009C46AD"/>
    <w:rsid w:val="009D03E7"/>
    <w:rsid w:val="00A00343"/>
    <w:rsid w:val="00A1292B"/>
    <w:rsid w:val="00A13D81"/>
    <w:rsid w:val="00A3461D"/>
    <w:rsid w:val="00A35529"/>
    <w:rsid w:val="00A5259B"/>
    <w:rsid w:val="00A525A5"/>
    <w:rsid w:val="00A5435F"/>
    <w:rsid w:val="00A60401"/>
    <w:rsid w:val="00A75CF8"/>
    <w:rsid w:val="00A93A9F"/>
    <w:rsid w:val="00AA7C8A"/>
    <w:rsid w:val="00AC2E1E"/>
    <w:rsid w:val="00AC6860"/>
    <w:rsid w:val="00AF18D8"/>
    <w:rsid w:val="00AF505C"/>
    <w:rsid w:val="00B27A53"/>
    <w:rsid w:val="00B3354A"/>
    <w:rsid w:val="00B51482"/>
    <w:rsid w:val="00B54E36"/>
    <w:rsid w:val="00BA14C6"/>
    <w:rsid w:val="00BC49A5"/>
    <w:rsid w:val="00BC5C68"/>
    <w:rsid w:val="00BC6AB5"/>
    <w:rsid w:val="00BE7250"/>
    <w:rsid w:val="00BF1848"/>
    <w:rsid w:val="00C26B12"/>
    <w:rsid w:val="00C332A4"/>
    <w:rsid w:val="00C37817"/>
    <w:rsid w:val="00C762C9"/>
    <w:rsid w:val="00C81D6E"/>
    <w:rsid w:val="00C87C42"/>
    <w:rsid w:val="00C93232"/>
    <w:rsid w:val="00CB0266"/>
    <w:rsid w:val="00CB7926"/>
    <w:rsid w:val="00CC2236"/>
    <w:rsid w:val="00CE6A00"/>
    <w:rsid w:val="00CF024C"/>
    <w:rsid w:val="00CF26CA"/>
    <w:rsid w:val="00D10F1D"/>
    <w:rsid w:val="00D20D24"/>
    <w:rsid w:val="00D366A8"/>
    <w:rsid w:val="00D658E1"/>
    <w:rsid w:val="00D74953"/>
    <w:rsid w:val="00DB4BFF"/>
    <w:rsid w:val="00DD08DE"/>
    <w:rsid w:val="00DF3E74"/>
    <w:rsid w:val="00E12178"/>
    <w:rsid w:val="00E225B3"/>
    <w:rsid w:val="00E2439D"/>
    <w:rsid w:val="00E2650A"/>
    <w:rsid w:val="00E34AB4"/>
    <w:rsid w:val="00E45E50"/>
    <w:rsid w:val="00E477CB"/>
    <w:rsid w:val="00E60E87"/>
    <w:rsid w:val="00E77FE4"/>
    <w:rsid w:val="00E869D6"/>
    <w:rsid w:val="00EB5CAB"/>
    <w:rsid w:val="00EC3D7A"/>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B1BCB-29D4-44E9-AC96-A72EB842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34</Pages>
  <Words>7041</Words>
  <Characters>40134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118</cp:revision>
  <dcterms:created xsi:type="dcterms:W3CDTF">2017-05-08T14:23:00Z</dcterms:created>
  <dcterms:modified xsi:type="dcterms:W3CDTF">2017-06-05T04:37:00Z</dcterms:modified>
</cp:coreProperties>
</file>