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28"/>
          <w:szCs w:val="28"/>
        </w:rPr>
        <w:t xml:space="preserve">Requirement Analysis and Deployment Approach for a GPU-Accelerated HPC Cluster on Microsoft Azure</w:t>
      </w:r>
    </w:p>
    <w:p>
      <w:pPr>
        <w:spacing w:after="200"/>
        <w:jc w:val="center"/>
      </w:pPr>
      <w:r>
        <w:rPr>
          <w:rFonts w:ascii="Times New Roman" w:cs="Times New Roman" w:eastAsia="Times New Roman" w:hAnsi="Times New Roman"/>
          <w:i/>
          <w:iCs/>
          <w:sz w:val="20"/>
          <w:szCs w:val="20"/>
        </w:rPr>
        <w:t xml:space="preserve">GPU Infrastructure Engineering Group</w:t>
      </w:r>
    </w:p>
    <w:p>
      <w:pPr>
        <w:spacing w:after="60"/>
      </w:pPr>
      <w:r>
        <w:rPr>
          <w:rFonts w:ascii="Times New Roman" w:cs="Times New Roman" w:eastAsia="Times New Roman" w:hAnsi="Times New Roman"/>
          <w:b/>
          <w:bCs/>
          <w:i/>
          <w:iCs/>
          <w:sz w:val="18"/>
          <w:szCs w:val="18"/>
        </w:rPr>
        <w:t xml:space="preserve">Abstract</w:t>
      </w:r>
    </w:p>
    <w:p>
      <w:pPr>
        <w:spacing w:after="100" w:before="0" w:line="252"/>
        <w:jc w:val="both"/>
      </w:pPr>
      <w:r>
        <w:rPr>
          <w:rFonts w:ascii="Times New Roman" w:cs="Times New Roman" w:eastAsia="Times New Roman" w:hAnsi="Times New Roman"/>
          <w:sz w:val="18"/>
          <w:szCs w:val="18"/>
        </w:rPr>
        <w:t xml:space="preserve">Deploying GPU-accelerated infrastructure for large-scale AI training and high-performance computing (HPC) requires a structured requirement-analysis process that jointly considers compute, power, cooling, networking, storage, physical facilities, and operational cost. This report documents an end-to-end approach for sizing and deploying a GPU cluster built on NVIDIA Hopper- and Ada Lovelace-class GPUs (H200, H100, A100, L40S, L4) using Microsoft Azure ND H100 v5 virtual machines, NVIDIA Quantum-2 InfiniBand in a non-blocking spine–leaf topology, and Azure Kubernetes Service (AKS) for workload orchestration. The methodology covers workload characterization and numerical-precision selection, FLOPs-based compute sizing, power and cooling strategy, network and storage architecture, deployment and validation procedures, monitoring practice, and total-cost-of-ownership (TCO) analysis. Worked sizing calculations are re-derived and cross-checked against published GPU specifications; two arithmetic inconsistencies present in the original planning material — an under-counted CUDA-core FLOPs formula and a unit error in a large-language-model training-compute estimate — are identified and corrected, with the corrected figures shown alongside the original assumptions for transparency.</w:t>
      </w:r>
    </w:p>
    <w:p>
      <w:pPr>
        <w:spacing w:after="200"/>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GPU cluster, HPC, InfiniBand, NVLink, GPUDirect RDMA, NCCL, spine–leaf topology, Azure AKS, ND H100 v5, total cost of ownership.</w:t>
      </w:r>
    </w:p>
    <w:p>
      <w:pPr>
        <w:sectPr>
          <w:type w:val="nextPage"/>
          <w:pgSz w:w="12240" w:h="15840" w:orient="portrait"/>
          <w:pgMar w:top="720" w:right="720" w:bottom="720" w:left="720" w:header="708" w:footer="708" w:gutter="0"/>
          <w:pgNumType/>
          <w:cols w:num="1"/>
          <w:docGrid w:linePitch="360"/>
        </w:sectPr>
      </w:pPr>
    </w:p>
    <w:p>
      <w:pPr>
        <w:spacing w:after="120" w:before="220"/>
        <w:jc w:val="center"/>
      </w:pPr>
      <w:r>
        <w:rPr>
          <w:rFonts w:ascii="Times New Roman" w:cs="Times New Roman" w:eastAsia="Times New Roman" w:hAnsi="Times New Roman"/>
          <w:b/>
          <w:bCs/>
          <w:sz w:val="19"/>
          <w:szCs w:val="19"/>
        </w:rPr>
        <w:t xml:space="preserve">I. Introduction</w:t>
      </w:r>
    </w:p>
    <w:p>
      <w:pPr>
        <w:spacing w:after="100" w:before="0" w:line="252"/>
        <w:jc w:val="both"/>
      </w:pPr>
      <w:r>
        <w:rPr>
          <w:rFonts w:ascii="Times New Roman" w:cs="Times New Roman" w:eastAsia="Times New Roman" w:hAnsi="Times New Roman"/>
          <w:sz w:val="18"/>
          <w:szCs w:val="18"/>
        </w:rPr>
        <w:t xml:space="preserve">Graphics processing units (GPUs) have become the primary computational substrate for AI training, AI inference, and many classes of HPC workloads, owing to their large numbers of parallel execution units, high-bandwidth memory (HBM), and specialized Tensor Core arithmetic. Realizing this capability at cluster scale, however, requires deliberate planning across several interdependent layers: GPU and memory selection, power delivery and cooling, node-to-node and rack-to-rack networking, shared and archival storage, physical rack and data-center space, and cluster-management software.</w:t>
      </w:r>
    </w:p>
    <w:p>
      <w:pPr>
        <w:spacing w:after="100" w:before="0" w:line="252"/>
        <w:jc w:val="both"/>
      </w:pPr>
      <w:r>
        <w:rPr>
          <w:rFonts w:ascii="Times New Roman" w:cs="Times New Roman" w:eastAsia="Times New Roman" w:hAnsi="Times New Roman"/>
          <w:sz w:val="18"/>
          <w:szCs w:val="18"/>
        </w:rPr>
        <w:t xml:space="preserve">This report presents a requirement-analysis methodology and reference deployment approach for a GPU-accelerated HPC cluster hosted on Microsoft Azure. The structure follows the order in which these decisions are typically made in practice: workload and precision assessment (Section II); hardware selection and sizing (Section III); power and cooling strategy (Section IV); networking architecture (Section V); storage planning (Section VI); physical space and rack configuration (Section VII); deployment and validation (Section VIII); monitoring and optimization (Section IX); and budget/TCO analysis (Section X). Detailed calculations, CLI/YAML deployment artifacts, and extended technical tables are provided in Appendices A–C, with a glossary of abbreviations at the end of the report.</w:t>
      </w:r>
    </w:p>
    <w:p>
      <w:pPr>
        <w:spacing w:after="120" w:before="220"/>
        <w:jc w:val="center"/>
      </w:pPr>
      <w:r>
        <w:rPr>
          <w:rFonts w:ascii="Times New Roman" w:cs="Times New Roman" w:eastAsia="Times New Roman" w:hAnsi="Times New Roman"/>
          <w:b/>
          <w:bCs/>
          <w:sz w:val="19"/>
          <w:szCs w:val="19"/>
        </w:rPr>
        <w:t xml:space="preserve">II. Workload and Use Case Assessment</w:t>
      </w:r>
    </w:p>
    <w:p>
      <w:pPr>
        <w:spacing w:after="100" w:before="0" w:line="252"/>
        <w:jc w:val="both"/>
      </w:pPr>
      <w:r>
        <w:rPr>
          <w:rFonts w:ascii="Times New Roman" w:cs="Times New Roman" w:eastAsia="Times New Roman" w:hAnsi="Times New Roman"/>
          <w:sz w:val="18"/>
          <w:szCs w:val="18"/>
        </w:rPr>
        <w:t xml:space="preserve">The first step in sizing GPU infrastructure is to characterize the target workloads — model complexity, batch size, data throughput, and whether the workload is AI training, AI inference, HPC simulation, or a mixed environment serving several of these concurrently. Each of these dimensions affects the required GPU memory capacity, memory bandwidth, interconnect bandwidth, and numerical precision, and therefore drives the hardware selection in Section III.</w:t>
      </w:r>
    </w:p>
    <w:p>
      <w:pPr>
        <w:spacing w:after="80" w:before="140"/>
        <w:jc w:val="left"/>
      </w:pPr>
      <w:r>
        <w:rPr>
          <w:rFonts w:ascii="Times New Roman" w:cs="Times New Roman" w:eastAsia="Times New Roman" w:hAnsi="Times New Roman"/>
          <w:b/>
          <w:bCs/>
          <w:i/>
          <w:iCs/>
          <w:sz w:val="18"/>
          <w:szCs w:val="18"/>
        </w:rPr>
        <w:t xml:space="preserve">A. Numerical Precision Requirements</w:t>
      </w:r>
    </w:p>
    <w:p>
      <w:pPr>
        <w:spacing w:after="100" w:before="0" w:line="252"/>
        <w:jc w:val="both"/>
      </w:pPr>
      <w:r>
        <w:rPr>
          <w:rFonts w:ascii="Times New Roman" w:cs="Times New Roman" w:eastAsia="Times New Roman" w:hAnsi="Times New Roman"/>
          <w:sz w:val="18"/>
          <w:szCs w:val="18"/>
        </w:rPr>
        <w:t xml:space="preserve">Modern GPU workloads are rarely run in a single fixed precision; the choice of floating-point format is itself a sizing parameter because it trades numerical accuracy against memory footprint, memory bandwidth, and achievable throughput.</w:t>
      </w:r>
    </w:p>
    <w:p>
      <w:pPr>
        <w:spacing w:after="100" w:before="0" w:line="252"/>
        <w:jc w:val="both"/>
      </w:pPr>
      <w:r>
        <w:rPr>
          <w:rFonts w:ascii="Times New Roman" w:cs="Times New Roman" w:eastAsia="Times New Roman" w:hAnsi="Times New Roman"/>
          <w:sz w:val="18"/>
          <w:szCs w:val="18"/>
        </w:rPr>
        <w:t xml:space="preserve">FP16 (half precision) uses 16 bits — 1 sign bit, 5 exponent bits, and 10 mantissa bits. It offers reduced numeric range and precision but substantially lowers memory footprint and bandwidth demand, and is widely used for deep-learning inference and other memory-constrained scenarios.</w:t>
      </w:r>
    </w:p>
    <w:p>
      <w:pPr>
        <w:spacing w:after="100" w:before="0" w:line="252"/>
        <w:jc w:val="both"/>
      </w:pPr>
      <w:r>
        <w:rPr>
          <w:rFonts w:ascii="Times New Roman" w:cs="Times New Roman" w:eastAsia="Times New Roman" w:hAnsi="Times New Roman"/>
          <w:sz w:val="18"/>
          <w:szCs w:val="18"/>
        </w:rPr>
        <w:t xml:space="preserve">FP32 (single precision) uses 32 bits — 1 sign bit, 8 exponent bits, and 23 mantissa bits — and provides a balanced mix of precision and efficiency. It remains the default numerical format for most general-purpose GPU computing, computer graphics, and many machine-learning frameworks.</w:t>
      </w:r>
    </w:p>
    <w:p>
      <w:pPr>
        <w:spacing w:after="100" w:before="0" w:line="252"/>
        <w:jc w:val="both"/>
      </w:pPr>
      <w:r>
        <w:rPr>
          <w:rFonts w:ascii="Times New Roman" w:cs="Times New Roman" w:eastAsia="Times New Roman" w:hAnsi="Times New Roman"/>
          <w:sz w:val="18"/>
          <w:szCs w:val="18"/>
        </w:rPr>
        <w:t xml:space="preserve">FP64 (double precision) uses 64 bits — 1 sign bit, 11 exponent bits, and 52 mantissa bits — and delivers the highest available precision and dynamic range. It is required for scientific simulation, computational engineering, and financial modeling workloads where rounding error must be tightly controlled, at the cost of higher memory and compute demand.</w:t>
      </w:r>
    </w:p>
    <w:p>
      <w:pPr>
        <w:spacing w:after="100" w:before="0" w:line="252"/>
        <w:jc w:val="both"/>
      </w:pPr>
      <w:r>
        <w:rPr>
          <w:rFonts w:ascii="Times New Roman" w:cs="Times New Roman" w:eastAsia="Times New Roman" w:hAnsi="Times New Roman"/>
          <w:sz w:val="18"/>
          <w:szCs w:val="18"/>
        </w:rPr>
        <w:t xml:space="preserve">In practice, FP16 (or BF16) is preferred where efficiency and memory savings dominate, FP32 remains the standard for general AI and graphics workloads, and FP64 is reserved for applications that demand the highest numerical accuracy. Mixed-precision training — computing in FP16/BF16 while accumulating in FP32 — is the common approach for large-scale LLM training on Tensor Core hardware.</w:t>
      </w:r>
    </w:p>
    <w:p>
      <w:pPr>
        <w:spacing w:after="120" w:before="220"/>
        <w:jc w:val="center"/>
      </w:pPr>
      <w:r>
        <w:rPr>
          <w:rFonts w:ascii="Times New Roman" w:cs="Times New Roman" w:eastAsia="Times New Roman" w:hAnsi="Times New Roman"/>
          <w:b/>
          <w:bCs/>
          <w:sz w:val="19"/>
          <w:szCs w:val="19"/>
        </w:rPr>
        <w:t xml:space="preserve">III. Hardware Selection and Sizing</w:t>
      </w:r>
    </w:p>
    <w:p>
      <w:pPr>
        <w:spacing w:after="100" w:before="0" w:line="252"/>
        <w:jc w:val="both"/>
      </w:pPr>
      <w:r>
        <w:rPr>
          <w:rFonts w:ascii="Times New Roman" w:cs="Times New Roman" w:eastAsia="Times New Roman" w:hAnsi="Times New Roman"/>
          <w:sz w:val="18"/>
          <w:szCs w:val="18"/>
        </w:rPr>
        <w:t xml:space="preserve">GPU selection is driven by the dominant workload identified in Section II. Table I summarizes five representative GPU classes spanning the NVIDIA Hopper and Ada Lovelace generations, together with their architecture, memory configuration, memory bandwidth, and representative FP64/FP16 throughput.</w:t>
      </w:r>
    </w:p>
    <w:p>
      <w:pPr>
        <w:sectPr>
          <w:type w:val="continuous"/>
          <w:pgSz w:w="12240" w:h="15840" w:orient="portrait"/>
          <w:pgMar w:top="720" w:right="720" w:bottom="720" w:left="720" w:header="708" w:footer="708" w:gutter="0"/>
          <w:pgNumType/>
          <w:cols w:space="288" w:num="2"/>
          <w:docGrid w:linePitch="360"/>
        </w:sectPr>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792"/>
        <w:gridCol w:w="1224"/>
        <w:gridCol w:w="1512"/>
        <w:gridCol w:w="1224"/>
        <w:gridCol w:w="1080"/>
        <w:gridCol w:w="1656"/>
        <w:gridCol w:w="2304"/>
      </w:tblGrid>
      <w:tr>
        <w:trPr>
          <w:tblHeader/>
        </w:trPr>
        <w:tc>
          <w:tcPr>
            <w:tcW w:type="dxa" w:w="792"/>
            <w:shd w:fill="DDE4EF" w:val="clear"/>
            <w:vAlign w:val="center"/>
          </w:tcPr>
          <w:p>
            <w:pPr>
              <w:spacing w:after="20"/>
              <w:jc w:val="center"/>
            </w:pPr>
            <w:r>
              <w:rPr>
                <w:rFonts w:ascii="Times New Roman" w:cs="Times New Roman" w:eastAsia="Times New Roman" w:hAnsi="Times New Roman"/>
                <w:b/>
                <w:bCs/>
                <w:sz w:val="16"/>
                <w:szCs w:val="16"/>
              </w:rPr>
              <w:t xml:space="preserve">GPU</w:t>
            </w:r>
          </w:p>
        </w:tc>
        <w:tc>
          <w:tcPr>
            <w:tcW w:type="dxa" w:w="1224"/>
            <w:shd w:fill="DDE4EF" w:val="clear"/>
            <w:vAlign w:val="center"/>
          </w:tcPr>
          <w:p>
            <w:pPr>
              <w:spacing w:after="20"/>
              <w:jc w:val="center"/>
            </w:pPr>
            <w:r>
              <w:rPr>
                <w:rFonts w:ascii="Times New Roman" w:cs="Times New Roman" w:eastAsia="Times New Roman" w:hAnsi="Times New Roman"/>
                <w:b/>
                <w:bCs/>
                <w:sz w:val="16"/>
                <w:szCs w:val="16"/>
              </w:rPr>
              <w:t xml:space="preserve">Architecture</w:t>
            </w:r>
          </w:p>
        </w:tc>
        <w:tc>
          <w:tcPr>
            <w:tcW w:type="dxa" w:w="1512"/>
            <w:shd w:fill="DDE4EF" w:val="clear"/>
            <w:vAlign w:val="center"/>
          </w:tcPr>
          <w:p>
            <w:pPr>
              <w:spacing w:after="20"/>
              <w:jc w:val="center"/>
            </w:pPr>
            <w:r>
              <w:rPr>
                <w:rFonts w:ascii="Times New Roman" w:cs="Times New Roman" w:eastAsia="Times New Roman" w:hAnsi="Times New Roman"/>
                <w:b/>
                <w:bCs/>
                <w:sz w:val="16"/>
                <w:szCs w:val="16"/>
              </w:rPr>
              <w:t xml:space="preserve">Memory</w:t>
            </w:r>
          </w:p>
        </w:tc>
        <w:tc>
          <w:tcPr>
            <w:tcW w:type="dxa" w:w="1224"/>
            <w:shd w:fill="DDE4EF" w:val="clear"/>
            <w:vAlign w:val="center"/>
          </w:tcPr>
          <w:p>
            <w:pPr>
              <w:spacing w:after="20"/>
              <w:jc w:val="center"/>
            </w:pPr>
            <w:r>
              <w:rPr>
                <w:rFonts w:ascii="Times New Roman" w:cs="Times New Roman" w:eastAsia="Times New Roman" w:hAnsi="Times New Roman"/>
                <w:b/>
                <w:bCs/>
                <w:sz w:val="16"/>
                <w:szCs w:val="16"/>
              </w:rPr>
              <w:t xml:space="preserve">Bandwidth</w:t>
            </w:r>
          </w:p>
        </w:tc>
        <w:tc>
          <w:tcPr>
            <w:tcW w:type="dxa" w:w="1080"/>
            <w:shd w:fill="DDE4EF" w:val="clear"/>
            <w:vAlign w:val="center"/>
          </w:tcPr>
          <w:p>
            <w:pPr>
              <w:spacing w:after="20"/>
              <w:jc w:val="center"/>
            </w:pPr>
            <w:r>
              <w:rPr>
                <w:rFonts w:ascii="Times New Roman" w:cs="Times New Roman" w:eastAsia="Times New Roman" w:hAnsi="Times New Roman"/>
                <w:b/>
                <w:bCs/>
                <w:sz w:val="16"/>
                <w:szCs w:val="16"/>
              </w:rPr>
              <w:t xml:space="preserve">FP64 Perf.</w:t>
            </w:r>
          </w:p>
        </w:tc>
        <w:tc>
          <w:tcPr>
            <w:tcW w:type="dxa" w:w="1656"/>
            <w:shd w:fill="DDE4EF" w:val="clear"/>
            <w:vAlign w:val="center"/>
          </w:tcPr>
          <w:p>
            <w:pPr>
              <w:spacing w:after="20"/>
              <w:jc w:val="center"/>
            </w:pPr>
            <w:r>
              <w:rPr>
                <w:rFonts w:ascii="Times New Roman" w:cs="Times New Roman" w:eastAsia="Times New Roman" w:hAnsi="Times New Roman"/>
                <w:b/>
                <w:bCs/>
                <w:sz w:val="16"/>
                <w:szCs w:val="16"/>
              </w:rPr>
              <w:t xml:space="preserve">FP16/BF16 Perf.</w:t>
            </w:r>
          </w:p>
        </w:tc>
        <w:tc>
          <w:tcPr>
            <w:tcW w:type="dxa" w:w="2304"/>
            <w:shd w:fill="DDE4EF" w:val="clear"/>
            <w:vAlign w:val="center"/>
          </w:tcPr>
          <w:p>
            <w:pPr>
              <w:spacing w:after="20"/>
              <w:jc w:val="center"/>
            </w:pPr>
            <w:r>
              <w:rPr>
                <w:rFonts w:ascii="Times New Roman" w:cs="Times New Roman" w:eastAsia="Times New Roman" w:hAnsi="Times New Roman"/>
                <w:b/>
                <w:bCs/>
                <w:sz w:val="16"/>
                <w:szCs w:val="16"/>
              </w:rPr>
              <w:t xml:space="preserve">Ideal Use Cases</w:t>
            </w:r>
          </w:p>
        </w:tc>
      </w:tr>
      <w:tr>
        <w:tc>
          <w:tcPr>
            <w:tcW w:type="dxa" w:w="792"/>
            <w:vAlign w:val="center"/>
          </w:tcPr>
          <w:p>
            <w:pPr>
              <w:spacing w:after="20"/>
              <w:jc w:val="left"/>
            </w:pPr>
            <w:r>
              <w:rPr>
                <w:rFonts w:ascii="Times New Roman" w:cs="Times New Roman" w:eastAsia="Times New Roman" w:hAnsi="Times New Roman"/>
                <w:sz w:val="16"/>
                <w:szCs w:val="16"/>
              </w:rPr>
              <w:t xml:space="preserve">H200</w:t>
            </w:r>
          </w:p>
        </w:tc>
        <w:tc>
          <w:tcPr>
            <w:tcW w:type="dxa" w:w="1224"/>
            <w:vAlign w:val="center"/>
          </w:tcPr>
          <w:p>
            <w:pPr>
              <w:spacing w:after="20"/>
              <w:jc w:val="left"/>
            </w:pPr>
            <w:r>
              <w:rPr>
                <w:rFonts w:ascii="Times New Roman" w:cs="Times New Roman" w:eastAsia="Times New Roman" w:hAnsi="Times New Roman"/>
                <w:sz w:val="16"/>
                <w:szCs w:val="16"/>
              </w:rPr>
              <w:t xml:space="preserve">Hopper</w:t>
            </w:r>
          </w:p>
        </w:tc>
        <w:tc>
          <w:tcPr>
            <w:tcW w:type="dxa" w:w="1512"/>
            <w:vAlign w:val="center"/>
          </w:tcPr>
          <w:p>
            <w:pPr>
              <w:spacing w:after="20"/>
              <w:jc w:val="left"/>
            </w:pPr>
            <w:r>
              <w:rPr>
                <w:rFonts w:ascii="Times New Roman" w:cs="Times New Roman" w:eastAsia="Times New Roman" w:hAnsi="Times New Roman"/>
                <w:sz w:val="16"/>
                <w:szCs w:val="16"/>
              </w:rPr>
              <w:t xml:space="preserve">141 GB HBM3e</w:t>
            </w:r>
          </w:p>
        </w:tc>
        <w:tc>
          <w:tcPr>
            <w:tcW w:type="dxa" w:w="1224"/>
            <w:vAlign w:val="center"/>
          </w:tcPr>
          <w:p>
            <w:pPr>
              <w:spacing w:after="20"/>
              <w:jc w:val="left"/>
            </w:pPr>
            <w:r>
              <w:rPr>
                <w:rFonts w:ascii="Times New Roman" w:cs="Times New Roman" w:eastAsia="Times New Roman" w:hAnsi="Times New Roman"/>
                <w:sz w:val="16"/>
                <w:szCs w:val="16"/>
              </w:rPr>
              <w:t xml:space="preserve">4.8 TB/s</w:t>
            </w:r>
          </w:p>
        </w:tc>
        <w:tc>
          <w:tcPr>
            <w:tcW w:type="dxa" w:w="1080"/>
            <w:vAlign w:val="center"/>
          </w:tcPr>
          <w:p>
            <w:pPr>
              <w:spacing w:after="20"/>
              <w:jc w:val="left"/>
            </w:pPr>
            <w:r>
              <w:rPr>
                <w:rFonts w:ascii="Times New Roman" w:cs="Times New Roman" w:eastAsia="Times New Roman" w:hAnsi="Times New Roman"/>
                <w:sz w:val="16"/>
                <w:szCs w:val="16"/>
              </w:rPr>
              <w:t xml:space="preserve">67 TFLOPS</w:t>
            </w:r>
          </w:p>
        </w:tc>
        <w:tc>
          <w:tcPr>
            <w:tcW w:type="dxa" w:w="1656"/>
            <w:vAlign w:val="center"/>
          </w:tcPr>
          <w:p>
            <w:pPr>
              <w:spacing w:after="20"/>
              <w:jc w:val="left"/>
            </w:pPr>
            <w:r>
              <w:rPr>
                <w:rFonts w:ascii="Times New Roman" w:cs="Times New Roman" w:eastAsia="Times New Roman" w:hAnsi="Times New Roman"/>
                <w:sz w:val="16"/>
                <w:szCs w:val="16"/>
              </w:rPr>
              <w:t xml:space="preserve">1.5 PFLOPS (sparse)</w:t>
            </w:r>
          </w:p>
        </w:tc>
        <w:tc>
          <w:tcPr>
            <w:tcW w:type="dxa" w:w="2304"/>
            <w:vAlign w:val="center"/>
          </w:tcPr>
          <w:p>
            <w:pPr>
              <w:spacing w:after="20"/>
              <w:jc w:val="left"/>
            </w:pPr>
            <w:r>
              <w:rPr>
                <w:rFonts w:ascii="Times New Roman" w:cs="Times New Roman" w:eastAsia="Times New Roman" w:hAnsi="Times New Roman"/>
                <w:sz w:val="16"/>
                <w:szCs w:val="16"/>
              </w:rPr>
              <w:t xml:space="preserve">LLM training, HPC, massive datasets</w:t>
            </w:r>
          </w:p>
        </w:tc>
      </w:tr>
      <w:tr>
        <w:tc>
          <w:tcPr>
            <w:tcW w:type="dxa" w:w="792"/>
            <w:vAlign w:val="center"/>
          </w:tcPr>
          <w:p>
            <w:pPr>
              <w:spacing w:after="20"/>
              <w:jc w:val="left"/>
            </w:pPr>
            <w:r>
              <w:rPr>
                <w:rFonts w:ascii="Times New Roman" w:cs="Times New Roman" w:eastAsia="Times New Roman" w:hAnsi="Times New Roman"/>
                <w:sz w:val="16"/>
                <w:szCs w:val="16"/>
              </w:rPr>
              <w:t xml:space="preserve">H100</w:t>
            </w:r>
          </w:p>
        </w:tc>
        <w:tc>
          <w:tcPr>
            <w:tcW w:type="dxa" w:w="1224"/>
            <w:vAlign w:val="center"/>
          </w:tcPr>
          <w:p>
            <w:pPr>
              <w:spacing w:after="20"/>
              <w:jc w:val="left"/>
            </w:pPr>
            <w:r>
              <w:rPr>
                <w:rFonts w:ascii="Times New Roman" w:cs="Times New Roman" w:eastAsia="Times New Roman" w:hAnsi="Times New Roman"/>
                <w:sz w:val="16"/>
                <w:szCs w:val="16"/>
              </w:rPr>
              <w:t xml:space="preserve">Hopper</w:t>
            </w:r>
          </w:p>
        </w:tc>
        <w:tc>
          <w:tcPr>
            <w:tcW w:type="dxa" w:w="1512"/>
            <w:vAlign w:val="center"/>
          </w:tcPr>
          <w:p>
            <w:pPr>
              <w:spacing w:after="20"/>
              <w:jc w:val="left"/>
            </w:pPr>
            <w:r>
              <w:rPr>
                <w:rFonts w:ascii="Times New Roman" w:cs="Times New Roman" w:eastAsia="Times New Roman" w:hAnsi="Times New Roman"/>
                <w:sz w:val="16"/>
                <w:szCs w:val="16"/>
              </w:rPr>
              <w:t xml:space="preserve">80 GB HBM2e/HBM3*</w:t>
            </w:r>
          </w:p>
        </w:tc>
        <w:tc>
          <w:tcPr>
            <w:tcW w:type="dxa" w:w="1224"/>
            <w:vAlign w:val="center"/>
          </w:tcPr>
          <w:p>
            <w:pPr>
              <w:spacing w:after="20"/>
              <w:jc w:val="left"/>
            </w:pPr>
            <w:r>
              <w:rPr>
                <w:rFonts w:ascii="Times New Roman" w:cs="Times New Roman" w:eastAsia="Times New Roman" w:hAnsi="Times New Roman"/>
                <w:sz w:val="16"/>
                <w:szCs w:val="16"/>
              </w:rPr>
              <w:t xml:space="preserve">2.0–2.04 TB/s</w:t>
            </w:r>
          </w:p>
        </w:tc>
        <w:tc>
          <w:tcPr>
            <w:tcW w:type="dxa" w:w="1080"/>
            <w:vAlign w:val="center"/>
          </w:tcPr>
          <w:p>
            <w:pPr>
              <w:spacing w:after="20"/>
              <w:jc w:val="left"/>
            </w:pPr>
            <w:r>
              <w:rPr>
                <w:rFonts w:ascii="Times New Roman" w:cs="Times New Roman" w:eastAsia="Times New Roman" w:hAnsi="Times New Roman"/>
                <w:sz w:val="16"/>
                <w:szCs w:val="16"/>
              </w:rPr>
              <w:t xml:space="preserve">48 TFLOPS</w:t>
            </w:r>
          </w:p>
        </w:tc>
        <w:tc>
          <w:tcPr>
            <w:tcW w:type="dxa" w:w="1656"/>
            <w:vAlign w:val="center"/>
          </w:tcPr>
          <w:p>
            <w:pPr>
              <w:spacing w:after="20"/>
              <w:jc w:val="left"/>
            </w:pPr>
            <w:r>
              <w:rPr>
                <w:rFonts w:ascii="Times New Roman" w:cs="Times New Roman" w:eastAsia="Times New Roman" w:hAnsi="Times New Roman"/>
                <w:sz w:val="16"/>
                <w:szCs w:val="16"/>
              </w:rPr>
              <w:t xml:space="preserve">1.6 PFLOPS (sparse)</w:t>
            </w:r>
          </w:p>
        </w:tc>
        <w:tc>
          <w:tcPr>
            <w:tcW w:type="dxa" w:w="2304"/>
            <w:vAlign w:val="center"/>
          </w:tcPr>
          <w:p>
            <w:pPr>
              <w:spacing w:after="20"/>
              <w:jc w:val="left"/>
            </w:pPr>
            <w:r>
              <w:rPr>
                <w:rFonts w:ascii="Times New Roman" w:cs="Times New Roman" w:eastAsia="Times New Roman" w:hAnsi="Times New Roman"/>
                <w:sz w:val="16"/>
                <w:szCs w:val="16"/>
              </w:rPr>
              <w:t xml:space="preserve">AI training/inference, MIG flexibility</w:t>
            </w:r>
          </w:p>
        </w:tc>
      </w:tr>
      <w:tr>
        <w:tc>
          <w:tcPr>
            <w:tcW w:type="dxa" w:w="792"/>
            <w:vAlign w:val="center"/>
          </w:tcPr>
          <w:p>
            <w:pPr>
              <w:spacing w:after="20"/>
              <w:jc w:val="left"/>
            </w:pPr>
            <w:r>
              <w:rPr>
                <w:rFonts w:ascii="Times New Roman" w:cs="Times New Roman" w:eastAsia="Times New Roman" w:hAnsi="Times New Roman"/>
                <w:sz w:val="16"/>
                <w:szCs w:val="16"/>
              </w:rPr>
              <w:t xml:space="preserve">A100</w:t>
            </w:r>
          </w:p>
        </w:tc>
        <w:tc>
          <w:tcPr>
            <w:tcW w:type="dxa" w:w="1224"/>
            <w:vAlign w:val="center"/>
          </w:tcPr>
          <w:p>
            <w:pPr>
              <w:spacing w:after="20"/>
              <w:jc w:val="left"/>
            </w:pPr>
            <w:r>
              <w:rPr>
                <w:rFonts w:ascii="Times New Roman" w:cs="Times New Roman" w:eastAsia="Times New Roman" w:hAnsi="Times New Roman"/>
                <w:sz w:val="16"/>
                <w:szCs w:val="16"/>
              </w:rPr>
              <w:t xml:space="preserve">Ampere</w:t>
            </w:r>
          </w:p>
        </w:tc>
        <w:tc>
          <w:tcPr>
            <w:tcW w:type="dxa" w:w="1512"/>
            <w:vAlign w:val="center"/>
          </w:tcPr>
          <w:p>
            <w:pPr>
              <w:spacing w:after="20"/>
              <w:jc w:val="left"/>
            </w:pPr>
            <w:r>
              <w:rPr>
                <w:rFonts w:ascii="Times New Roman" w:cs="Times New Roman" w:eastAsia="Times New Roman" w:hAnsi="Times New Roman"/>
                <w:sz w:val="16"/>
                <w:szCs w:val="16"/>
              </w:rPr>
              <w:t xml:space="preserve">40/80 GB HBM2</w:t>
            </w:r>
          </w:p>
        </w:tc>
        <w:tc>
          <w:tcPr>
            <w:tcW w:type="dxa" w:w="1224"/>
            <w:vAlign w:val="center"/>
          </w:tcPr>
          <w:p>
            <w:pPr>
              <w:spacing w:after="20"/>
              <w:jc w:val="left"/>
            </w:pPr>
            <w:r>
              <w:rPr>
                <w:rFonts w:ascii="Times New Roman" w:cs="Times New Roman" w:eastAsia="Times New Roman" w:hAnsi="Times New Roman"/>
                <w:sz w:val="16"/>
                <w:szCs w:val="16"/>
              </w:rPr>
              <w:t xml:space="preserve">~2.0 TB/s</w:t>
            </w:r>
          </w:p>
        </w:tc>
        <w:tc>
          <w:tcPr>
            <w:tcW w:type="dxa" w:w="1080"/>
            <w:vAlign w:val="center"/>
          </w:tcPr>
          <w:p>
            <w:pPr>
              <w:spacing w:after="20"/>
              <w:jc w:val="left"/>
            </w:pPr>
            <w:r>
              <w:rPr>
                <w:rFonts w:ascii="Times New Roman" w:cs="Times New Roman" w:eastAsia="Times New Roman" w:hAnsi="Times New Roman"/>
                <w:sz w:val="16"/>
                <w:szCs w:val="16"/>
              </w:rPr>
              <w:t xml:space="preserve">19.5 TFLOPS</w:t>
            </w:r>
          </w:p>
        </w:tc>
        <w:tc>
          <w:tcPr>
            <w:tcW w:type="dxa" w:w="1656"/>
            <w:vAlign w:val="center"/>
          </w:tcPr>
          <w:p>
            <w:pPr>
              <w:spacing w:after="20"/>
              <w:jc w:val="left"/>
            </w:pPr>
            <w:r>
              <w:rPr>
                <w:rFonts w:ascii="Times New Roman" w:cs="Times New Roman" w:eastAsia="Times New Roman" w:hAnsi="Times New Roman"/>
                <w:sz w:val="16"/>
                <w:szCs w:val="16"/>
              </w:rPr>
              <w:t xml:space="preserve">312 TFLOPS (dense, BF16)</w:t>
            </w:r>
          </w:p>
        </w:tc>
        <w:tc>
          <w:tcPr>
            <w:tcW w:type="dxa" w:w="2304"/>
            <w:vAlign w:val="center"/>
          </w:tcPr>
          <w:p>
            <w:pPr>
              <w:spacing w:after="20"/>
              <w:jc w:val="left"/>
            </w:pPr>
            <w:r>
              <w:rPr>
                <w:rFonts w:ascii="Times New Roman" w:cs="Times New Roman" w:eastAsia="Times New Roman" w:hAnsi="Times New Roman"/>
                <w:sz w:val="16"/>
                <w:szCs w:val="16"/>
              </w:rPr>
              <w:t xml:space="preserve">Mixed workloads (AI + HPC)</w:t>
            </w:r>
          </w:p>
        </w:tc>
      </w:tr>
      <w:tr>
        <w:tc>
          <w:tcPr>
            <w:tcW w:type="dxa" w:w="792"/>
            <w:vAlign w:val="center"/>
          </w:tcPr>
          <w:p>
            <w:pPr>
              <w:spacing w:after="20"/>
              <w:jc w:val="left"/>
            </w:pPr>
            <w:r>
              <w:rPr>
                <w:rFonts w:ascii="Times New Roman" w:cs="Times New Roman" w:eastAsia="Times New Roman" w:hAnsi="Times New Roman"/>
                <w:sz w:val="16"/>
                <w:szCs w:val="16"/>
              </w:rPr>
              <w:t xml:space="preserve">L40S</w:t>
            </w:r>
          </w:p>
        </w:tc>
        <w:tc>
          <w:tcPr>
            <w:tcW w:type="dxa" w:w="1224"/>
            <w:vAlign w:val="center"/>
          </w:tcPr>
          <w:p>
            <w:pPr>
              <w:spacing w:after="20"/>
              <w:jc w:val="left"/>
            </w:pPr>
            <w:r>
              <w:rPr>
                <w:rFonts w:ascii="Times New Roman" w:cs="Times New Roman" w:eastAsia="Times New Roman" w:hAnsi="Times New Roman"/>
                <w:sz w:val="16"/>
                <w:szCs w:val="16"/>
              </w:rPr>
              <w:t xml:space="preserve">Ada Lovelace</w:t>
            </w:r>
          </w:p>
        </w:tc>
        <w:tc>
          <w:tcPr>
            <w:tcW w:type="dxa" w:w="1512"/>
            <w:vAlign w:val="center"/>
          </w:tcPr>
          <w:p>
            <w:pPr>
              <w:spacing w:after="20"/>
              <w:jc w:val="left"/>
            </w:pPr>
            <w:r>
              <w:rPr>
                <w:rFonts w:ascii="Times New Roman" w:cs="Times New Roman" w:eastAsia="Times New Roman" w:hAnsi="Times New Roman"/>
                <w:sz w:val="16"/>
                <w:szCs w:val="16"/>
              </w:rPr>
              <w:t xml:space="preserve">48 GB GDDR6</w:t>
            </w:r>
          </w:p>
        </w:tc>
        <w:tc>
          <w:tcPr>
            <w:tcW w:type="dxa" w:w="1224"/>
            <w:vAlign w:val="center"/>
          </w:tcPr>
          <w:p>
            <w:pPr>
              <w:spacing w:after="20"/>
              <w:jc w:val="left"/>
            </w:pPr>
            <w:r>
              <w:rPr>
                <w:rFonts w:ascii="Times New Roman" w:cs="Times New Roman" w:eastAsia="Times New Roman" w:hAnsi="Times New Roman"/>
                <w:sz w:val="16"/>
                <w:szCs w:val="16"/>
              </w:rPr>
              <w:t xml:space="preserve">864 GB/s</w:t>
            </w:r>
          </w:p>
        </w:tc>
        <w:tc>
          <w:tcPr>
            <w:tcW w:type="dxa" w:w="1080"/>
            <w:vAlign w:val="center"/>
          </w:tcPr>
          <w:p>
            <w:pPr>
              <w:spacing w:after="20"/>
              <w:jc w:val="left"/>
            </w:pPr>
            <w:r>
              <w:rPr>
                <w:rFonts w:ascii="Times New Roman" w:cs="Times New Roman" w:eastAsia="Times New Roman" w:hAnsi="Times New Roman"/>
                <w:sz w:val="16"/>
                <w:szCs w:val="16"/>
              </w:rPr>
              <w:t xml:space="preserve">—</w:t>
            </w:r>
          </w:p>
        </w:tc>
        <w:tc>
          <w:tcPr>
            <w:tcW w:type="dxa" w:w="1656"/>
            <w:vAlign w:val="center"/>
          </w:tcPr>
          <w:p>
            <w:pPr>
              <w:spacing w:after="20"/>
              <w:jc w:val="left"/>
            </w:pPr>
            <w:r>
              <w:rPr>
                <w:rFonts w:ascii="Times New Roman" w:cs="Times New Roman" w:eastAsia="Times New Roman" w:hAnsi="Times New Roman"/>
                <w:sz w:val="16"/>
                <w:szCs w:val="16"/>
              </w:rPr>
              <w:t xml:space="preserve">—</w:t>
            </w:r>
          </w:p>
        </w:tc>
        <w:tc>
          <w:tcPr>
            <w:tcW w:type="dxa" w:w="2304"/>
            <w:vAlign w:val="center"/>
          </w:tcPr>
          <w:p>
            <w:pPr>
              <w:spacing w:after="20"/>
              <w:jc w:val="left"/>
            </w:pPr>
            <w:r>
              <w:rPr>
                <w:rFonts w:ascii="Times New Roman" w:cs="Times New Roman" w:eastAsia="Times New Roman" w:hAnsi="Times New Roman"/>
                <w:sz w:val="16"/>
                <w:szCs w:val="16"/>
              </w:rPr>
              <w:t xml:space="preserve">Video analytics, 3D rendering</w:t>
            </w:r>
          </w:p>
        </w:tc>
      </w:tr>
      <w:tr>
        <w:tc>
          <w:tcPr>
            <w:tcW w:type="dxa" w:w="792"/>
            <w:vAlign w:val="center"/>
          </w:tcPr>
          <w:p>
            <w:pPr>
              <w:spacing w:after="20"/>
              <w:jc w:val="left"/>
            </w:pPr>
            <w:r>
              <w:rPr>
                <w:rFonts w:ascii="Times New Roman" w:cs="Times New Roman" w:eastAsia="Times New Roman" w:hAnsi="Times New Roman"/>
                <w:sz w:val="16"/>
                <w:szCs w:val="16"/>
              </w:rPr>
              <w:t xml:space="preserve">L4</w:t>
            </w:r>
          </w:p>
        </w:tc>
        <w:tc>
          <w:tcPr>
            <w:tcW w:type="dxa" w:w="1224"/>
            <w:vAlign w:val="center"/>
          </w:tcPr>
          <w:p>
            <w:pPr>
              <w:spacing w:after="20"/>
              <w:jc w:val="left"/>
            </w:pPr>
            <w:r>
              <w:rPr>
                <w:rFonts w:ascii="Times New Roman" w:cs="Times New Roman" w:eastAsia="Times New Roman" w:hAnsi="Times New Roman"/>
                <w:sz w:val="16"/>
                <w:szCs w:val="16"/>
              </w:rPr>
              <w:t xml:space="preserve">Ada Lovelace</w:t>
            </w:r>
          </w:p>
        </w:tc>
        <w:tc>
          <w:tcPr>
            <w:tcW w:type="dxa" w:w="1512"/>
            <w:vAlign w:val="center"/>
          </w:tcPr>
          <w:p>
            <w:pPr>
              <w:spacing w:after="20"/>
              <w:jc w:val="left"/>
            </w:pPr>
            <w:r>
              <w:rPr>
                <w:rFonts w:ascii="Times New Roman" w:cs="Times New Roman" w:eastAsia="Times New Roman" w:hAnsi="Times New Roman"/>
                <w:sz w:val="16"/>
                <w:szCs w:val="16"/>
              </w:rPr>
              <w:t xml:space="preserve">24 GB GDDR6</w:t>
            </w:r>
          </w:p>
        </w:tc>
        <w:tc>
          <w:tcPr>
            <w:tcW w:type="dxa" w:w="1224"/>
            <w:vAlign w:val="center"/>
          </w:tcPr>
          <w:p>
            <w:pPr>
              <w:spacing w:after="20"/>
              <w:jc w:val="left"/>
            </w:pPr>
            <w:r>
              <w:rPr>
                <w:rFonts w:ascii="Times New Roman" w:cs="Times New Roman" w:eastAsia="Times New Roman" w:hAnsi="Times New Roman"/>
                <w:sz w:val="16"/>
                <w:szCs w:val="16"/>
              </w:rPr>
              <w:t xml:space="preserve">300 GB/s</w:t>
            </w:r>
          </w:p>
        </w:tc>
        <w:tc>
          <w:tcPr>
            <w:tcW w:type="dxa" w:w="1080"/>
            <w:vAlign w:val="center"/>
          </w:tcPr>
          <w:p>
            <w:pPr>
              <w:spacing w:after="20"/>
              <w:jc w:val="left"/>
            </w:pPr>
            <w:r>
              <w:rPr>
                <w:rFonts w:ascii="Times New Roman" w:cs="Times New Roman" w:eastAsia="Times New Roman" w:hAnsi="Times New Roman"/>
                <w:sz w:val="16"/>
                <w:szCs w:val="16"/>
              </w:rPr>
              <w:t xml:space="preserve">—</w:t>
            </w:r>
          </w:p>
        </w:tc>
        <w:tc>
          <w:tcPr>
            <w:tcW w:type="dxa" w:w="1656"/>
            <w:vAlign w:val="center"/>
          </w:tcPr>
          <w:p>
            <w:pPr>
              <w:spacing w:after="20"/>
              <w:jc w:val="left"/>
            </w:pPr>
            <w:r>
              <w:rPr>
                <w:rFonts w:ascii="Times New Roman" w:cs="Times New Roman" w:eastAsia="Times New Roman" w:hAnsi="Times New Roman"/>
                <w:sz w:val="16"/>
                <w:szCs w:val="16"/>
              </w:rPr>
              <w:t xml:space="preserve">—</w:t>
            </w:r>
          </w:p>
        </w:tc>
        <w:tc>
          <w:tcPr>
            <w:tcW w:type="dxa" w:w="2304"/>
            <w:vAlign w:val="center"/>
          </w:tcPr>
          <w:p>
            <w:pPr>
              <w:spacing w:after="20"/>
              <w:jc w:val="left"/>
            </w:pPr>
            <w:r>
              <w:rPr>
                <w:rFonts w:ascii="Times New Roman" w:cs="Times New Roman" w:eastAsia="Times New Roman" w:hAnsi="Times New Roman"/>
                <w:sz w:val="16"/>
                <w:szCs w:val="16"/>
              </w:rPr>
              <w:t xml:space="preserve">Edge AI, real-time inference</w:t>
            </w:r>
          </w:p>
        </w:tc>
      </w:tr>
    </w:tbl>
    <w:p>
      <w:pPr>
        <w:spacing w:after="160" w:before="60"/>
        <w:jc w:val="center"/>
      </w:pPr>
      <w:r>
        <w:rPr>
          <w:rFonts w:ascii="Times New Roman" w:cs="Times New Roman" w:eastAsia="Times New Roman" w:hAnsi="Times New Roman"/>
          <w:b/>
          <w:bCs/>
          <w:sz w:val="16"/>
          <w:szCs w:val="16"/>
        </w:rPr>
        <w:t xml:space="preserve">TABLE I.  GPU HARDWARE COMPARISON (REPRESENTATIVE SPECIFICATIONS)</w:t>
      </w:r>
    </w:p>
    <w:p>
      <w:pPr>
        <w:spacing w:after="160" w:before="0" w:line="252"/>
        <w:jc w:val="both"/>
      </w:pPr>
      <w:r>
        <w:rPr>
          <w:rFonts w:ascii="Times New Roman" w:cs="Times New Roman" w:eastAsia="Times New Roman" w:hAnsi="Times New Roman"/>
          <w:sz w:val="16"/>
          <w:szCs w:val="16"/>
        </w:rPr>
        <w:t xml:space="preserve">*The SXM variant of H100 uses 80 GB HBM3 at approximately 3.35 TB/s; the PCIe variant uses HBM2e at approximately 2.0 TB/s. The lower bandwidth figure applies to the PCIe form factor referenced for this deployment.</w:t>
      </w:r>
    </w:p>
    <w:p>
      <w:pPr>
        <w:spacing w:after="30" w:before="140"/>
        <w:jc w:val="center"/>
      </w:pPr>
      <w:r>
        <w:drawing>
          <wp:inline distT="0" distB="0" distL="0" distR="0">
            <wp:extent cx="292417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24175" cy="2514600"/>
                    </a:xfrm>
                    <a:prstGeom prst="rect">
                      <a:avLst/>
                    </a:prstGeom>
                  </pic:spPr>
                </pic:pic>
              </a:graphicData>
            </a:graphic>
          </wp:inline>
        </w:drawing>
      </w:r>
    </w:p>
    <w:p>
      <w:pPr>
        <w:spacing w:after="160"/>
        <w:jc w:val="center"/>
      </w:pPr>
      <w:r>
        <w:rPr>
          <w:rFonts w:ascii="Times New Roman" w:cs="Times New Roman" w:eastAsia="Times New Roman" w:hAnsi="Times New Roman"/>
          <w:i/>
          <w:iCs/>
          <w:sz w:val="16"/>
          <w:szCs w:val="16"/>
        </w:rPr>
        <w:t xml:space="preserve">Fig. 6. Qualitative performance-versus-cost positioning of the evaluated GPU classes. Axes are relative, not absolute measurements.</w:t>
      </w:r>
    </w:p>
    <w:p>
      <w:pPr>
        <w:sectPr>
          <w:type w:val="continuous"/>
          <w:pgSz w:w="12240" w:h="15840" w:orient="portrait"/>
          <w:pgMar w:top="720" w:right="720" w:bottom="720" w:left="720" w:header="708" w:footer="708" w:gutter="0"/>
          <w:pgNumType/>
          <w:cols w:num="1"/>
          <w:docGrid w:linePitch="360"/>
        </w:sectPr>
      </w:pPr>
    </w:p>
    <w:p>
      <w:pPr>
        <w:spacing w:after="80" w:before="140"/>
        <w:jc w:val="left"/>
      </w:pPr>
      <w:r>
        <w:rPr>
          <w:rFonts w:ascii="Times New Roman" w:cs="Times New Roman" w:eastAsia="Times New Roman" w:hAnsi="Times New Roman"/>
          <w:b/>
          <w:bCs/>
          <w:i/>
          <w:iCs/>
          <w:sz w:val="18"/>
          <w:szCs w:val="18"/>
        </w:rPr>
        <w:t xml:space="preserve">A. Performance-Cost Trade-off</w:t>
      </w:r>
    </w:p>
    <w:p>
      <w:pPr>
        <w:spacing w:after="100" w:before="0" w:line="252"/>
        <w:jc w:val="both"/>
      </w:pPr>
      <w:r>
        <w:rPr>
          <w:rFonts w:ascii="Times New Roman" w:cs="Times New Roman" w:eastAsia="Times New Roman" w:hAnsi="Times New Roman"/>
          <w:sz w:val="18"/>
          <w:szCs w:val="18"/>
        </w:rPr>
        <w:t xml:space="preserve">As Fig. 6 illustrates, the five GPU classes occupy a roughly monotonic performance-cost curve: H200 delivers the highest performance at the highest cost; H100 sits close behind H200 in capability at a still-premium price point and is the recommended default for large-scale LLM training given its market availability and mature software ecosystem; A100 offers a balanced mid-range option for mixed AI/HPC workloads; L40S targets rendering and video-analytics workloads rather than large-model training; and L4 minimizes cost for lightweight, latency-sensitive inference at the edge.</w:t>
      </w:r>
    </w:p>
    <w:p>
      <w:pPr>
        <w:spacing w:after="80" w:before="140"/>
        <w:jc w:val="left"/>
      </w:pPr>
      <w:r>
        <w:rPr>
          <w:rFonts w:ascii="Times New Roman" w:cs="Times New Roman" w:eastAsia="Times New Roman" w:hAnsi="Times New Roman"/>
          <w:b/>
          <w:bCs/>
          <w:i/>
          <w:iCs/>
          <w:sz w:val="18"/>
          <w:szCs w:val="18"/>
        </w:rPr>
        <w:t xml:space="preserve">B. Compute Sizing Methodology</w:t>
      </w:r>
    </w:p>
    <w:p>
      <w:pPr>
        <w:spacing w:after="100" w:before="0" w:line="252"/>
        <w:jc w:val="both"/>
      </w:pPr>
      <w:r>
        <w:rPr>
          <w:rFonts w:ascii="Times New Roman" w:cs="Times New Roman" w:eastAsia="Times New Roman" w:hAnsi="Times New Roman"/>
          <w:sz w:val="18"/>
          <w:szCs w:val="18"/>
        </w:rPr>
        <w:t xml:space="preserve">Cluster size is derived from the total floating-point operations (FLOPs) required by the target workload divided by the sustained FLOPs delivered per GPU, scaled by the number of GPUs per node and the intended wall-clock training time. The full derivation, including a corrected worked example for training a 175-billion-parameter language model, is provided in Appendix A. As a summary: for a representative 8-GPU A100 node type and a 30-day training window, the corrected analysis in Appendix A indicates on the order of several tens of nodes are required at full utilization — not the several-thousand-node figure obtained from an un-corrected unit error in the source planning estimate. Sizing must additionally account for realistic GPU utilization (typically 40–70% of theoretical peak in distributed training, per the cross-layer bottleneck considerations discussed in related work), which increases the practical node count proportionally.</w:t>
      </w:r>
    </w:p>
    <w:p>
      <w:pPr>
        <w:spacing w:after="80" w:before="140"/>
        <w:jc w:val="left"/>
      </w:pPr>
      <w:r>
        <w:rPr>
          <w:rFonts w:ascii="Times New Roman" w:cs="Times New Roman" w:eastAsia="Times New Roman" w:hAnsi="Times New Roman"/>
          <w:b/>
          <w:bCs/>
          <w:i/>
          <w:iCs/>
          <w:sz w:val="18"/>
          <w:szCs w:val="18"/>
        </w:rPr>
        <w:t xml:space="preserve">C. Reference Server Configuration</w:t>
      </w:r>
    </w:p>
    <w:p>
      <w:pPr>
        <w:spacing w:after="100" w:before="0" w:line="252"/>
        <w:jc w:val="both"/>
      </w:pPr>
      <w:r>
        <w:rPr>
          <w:rFonts w:ascii="Times New Roman" w:cs="Times New Roman" w:eastAsia="Times New Roman" w:hAnsi="Times New Roman"/>
          <w:sz w:val="18"/>
          <w:szCs w:val="18"/>
        </w:rPr>
        <w:t xml:space="preserve">The reference compute node for this deployment is the Azure ND H100 v5 virtual machine (Standard_ND96isr_H100_v5), configured with 8× NVIDIA H100 GPUs (80 GB HBM per GPU), 96 Intel Sapphire Rapids vCPUs, and approximately 1,900 GiB of system RAM. Each node provides NVLink 4.0 for intra-node GPU-to-GPU bandwidth and an aggregate of 3.2 Tb/s of NVIDIA Quantum-2 InfiniBand bandwidth (8× 400 Gb/s CX7 links, one per GPU) for inter-node scale-out. This VM family is intended for large language model training, generative-AI workloads, and tightly coupled HPC applications that rely on NCCL-based collective communication across nodes.</w:t>
      </w:r>
    </w:p>
    <w:p>
      <w:pPr>
        <w:spacing w:after="120" w:before="220"/>
        <w:jc w:val="center"/>
      </w:pPr>
      <w:r>
        <w:rPr>
          <w:rFonts w:ascii="Times New Roman" w:cs="Times New Roman" w:eastAsia="Times New Roman" w:hAnsi="Times New Roman"/>
          <w:b/>
          <w:bCs/>
          <w:sz w:val="19"/>
          <w:szCs w:val="19"/>
        </w:rPr>
        <w:t xml:space="preserve">IV. Power and Cooling Strategy</w:t>
      </w:r>
    </w:p>
    <w:p>
      <w:pPr>
        <w:spacing w:after="100" w:before="0" w:line="252"/>
        <w:jc w:val="both"/>
      </w:pPr>
      <w:r>
        <w:rPr>
          <w:rFonts w:ascii="Times New Roman" w:cs="Times New Roman" w:eastAsia="Times New Roman" w:hAnsi="Times New Roman"/>
          <w:sz w:val="18"/>
          <w:szCs w:val="18"/>
        </w:rPr>
        <w:t xml:space="preserve">GPU-dense nodes such as the ND H100 v5 draw substantially more power per rack unit than conventional CPU-only servers, and the power and cooling design must be sized accordingly rather than assumed from legacy rack profiles.</w:t>
      </w:r>
    </w:p>
    <w:p>
      <w:pPr>
        <w:spacing w:after="60" w:line="252"/>
        <w:ind w:left="259" w:hanging="201"/>
        <w:jc w:val="both"/>
      </w:pPr>
      <w:r>
        <w:rPr>
          <w:rFonts w:ascii="Times New Roman" w:cs="Times New Roman" w:eastAsia="Times New Roman" w:hAnsi="Times New Roman"/>
          <w:sz w:val="18"/>
          <w:szCs w:val="18"/>
        </w:rPr>
        <w:t xml:space="preserve">•  Provision 208–240 V circuits with 30–60 A capacity per rack to support high-density GPU deployments, consistent with typical 30–40 kW rack power draws for 8-GPU H100/H200 nodes.</w:t>
      </w:r>
    </w:p>
    <w:p>
      <w:pPr>
        <w:spacing w:after="60" w:line="252"/>
        <w:ind w:left="259" w:hanging="201"/>
        <w:jc w:val="both"/>
      </w:pPr>
      <w:r>
        <w:rPr>
          <w:rFonts w:ascii="Times New Roman" w:cs="Times New Roman" w:eastAsia="Times New Roman" w:hAnsi="Times New Roman"/>
          <w:sz w:val="18"/>
          <w:szCs w:val="18"/>
        </w:rPr>
        <w:t xml:space="preserve">•  For air-cooled deployments, maintain strict cold-aisle/hot-aisle containment with front-to-back airflow and blanking panels; most H100 configurations use passive heatsinks and depend on adequate facility airflow rather than onboard fans.</w:t>
      </w:r>
    </w:p>
    <w:p>
      <w:pPr>
        <w:spacing w:after="60" w:line="252"/>
        <w:ind w:left="259" w:hanging="201"/>
        <w:jc w:val="both"/>
      </w:pPr>
      <w:r>
        <w:rPr>
          <w:rFonts w:ascii="Times New Roman" w:cs="Times New Roman" w:eastAsia="Times New Roman" w:hAnsi="Times New Roman"/>
          <w:sz w:val="18"/>
          <w:szCs w:val="18"/>
        </w:rPr>
        <w:t xml:space="preserve">•  Plan for liquid or immersion cooling where rack power density or facility airflow limits would otherwise cause thermal throttling; this is increasingly the default for H100/H200-class deployments rather than an exception.</w:t>
      </w:r>
    </w:p>
    <w:p>
      <w:pPr>
        <w:spacing w:after="60" w:line="252"/>
        <w:ind w:left="259" w:hanging="201"/>
        <w:jc w:val="both"/>
      </w:pPr>
      <w:r>
        <w:rPr>
          <w:rFonts w:ascii="Times New Roman" w:cs="Times New Roman" w:eastAsia="Times New Roman" w:hAnsi="Times New Roman"/>
          <w:sz w:val="18"/>
          <w:szCs w:val="18"/>
        </w:rPr>
        <w:t xml:space="preserve">•  Include N+1 power redundancy and a defined PUE (power usage effectiveness) target as part of the facility design review, since GPU racks materially change a data center's overall power and cooling profile.</w:t>
      </w:r>
    </w:p>
    <w:p>
      <w:pPr>
        <w:spacing w:after="120" w:before="220"/>
        <w:jc w:val="center"/>
      </w:pPr>
      <w:r>
        <w:rPr>
          <w:rFonts w:ascii="Times New Roman" w:cs="Times New Roman" w:eastAsia="Times New Roman" w:hAnsi="Times New Roman"/>
          <w:b/>
          <w:bCs/>
          <w:sz w:val="19"/>
          <w:szCs w:val="19"/>
        </w:rPr>
        <w:t xml:space="preserve">V. Networking Architecture</w:t>
      </w:r>
    </w:p>
    <w:p>
      <w:pPr>
        <w:spacing w:after="100" w:before="0" w:line="252"/>
        <w:jc w:val="both"/>
      </w:pPr>
      <w:r>
        <w:rPr>
          <w:rFonts w:ascii="Times New Roman" w:cs="Times New Roman" w:eastAsia="Times New Roman" w:hAnsi="Times New Roman"/>
          <w:sz w:val="18"/>
          <w:szCs w:val="18"/>
        </w:rPr>
        <w:t xml:space="preserve">Distributed GPU training and tightly coupled HPC workloads are communication-bound as often as they are compute-bound, so network architecture is treated as a first-class sizing decision rather than an afterthought. Azure exposes several distinct networking building blocks; Table II summarizes the options considered for this deployment.</w:t>
      </w:r>
    </w:p>
    <w:p>
      <w:pPr>
        <w:sectPr>
          <w:type w:val="continuous"/>
          <w:pgSz w:w="12240" w:h="15840" w:orient="portrait"/>
          <w:pgMar w:top="720" w:right="720" w:bottom="720" w:left="720" w:header="708" w:footer="708" w:gutter="0"/>
          <w:pgNumType/>
          <w:cols w:space="288" w:num="2"/>
          <w:docGrid w:linePitch="360"/>
        </w:sectPr>
      </w:pP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944"/>
        <w:gridCol w:w="2232"/>
        <w:gridCol w:w="2232"/>
        <w:gridCol w:w="2520"/>
      </w:tblGrid>
      <w:tr>
        <w:trPr>
          <w:tblHeader/>
        </w:trPr>
        <w:tc>
          <w:tcPr>
            <w:tcW w:type="dxa" w:w="1944"/>
            <w:shd w:fill="DDE4EF" w:val="clear"/>
            <w:vAlign w:val="center"/>
          </w:tcPr>
          <w:p>
            <w:pPr>
              <w:spacing w:after="20"/>
              <w:jc w:val="center"/>
            </w:pPr>
            <w:r>
              <w:rPr>
                <w:rFonts w:ascii="Times New Roman" w:cs="Times New Roman" w:eastAsia="Times New Roman" w:hAnsi="Times New Roman"/>
                <w:b/>
                <w:bCs/>
                <w:sz w:val="16"/>
                <w:szCs w:val="16"/>
              </w:rPr>
              <w:t xml:space="preserve">Option</w:t>
            </w:r>
          </w:p>
        </w:tc>
        <w:tc>
          <w:tcPr>
            <w:tcW w:type="dxa" w:w="2232"/>
            <w:shd w:fill="DDE4EF" w:val="clear"/>
            <w:vAlign w:val="center"/>
          </w:tcPr>
          <w:p>
            <w:pPr>
              <w:spacing w:after="20"/>
              <w:jc w:val="center"/>
            </w:pPr>
            <w:r>
              <w:rPr>
                <w:rFonts w:ascii="Times New Roman" w:cs="Times New Roman" w:eastAsia="Times New Roman" w:hAnsi="Times New Roman"/>
                <w:b/>
                <w:bCs/>
                <w:sz w:val="16"/>
                <w:szCs w:val="16"/>
              </w:rPr>
              <w:t xml:space="preserve">Purpose</w:t>
            </w:r>
          </w:p>
        </w:tc>
        <w:tc>
          <w:tcPr>
            <w:tcW w:type="dxa" w:w="2232"/>
            <w:shd w:fill="DDE4EF" w:val="clear"/>
            <w:vAlign w:val="center"/>
          </w:tcPr>
          <w:p>
            <w:pPr>
              <w:spacing w:after="20"/>
              <w:jc w:val="center"/>
            </w:pPr>
            <w:r>
              <w:rPr>
                <w:rFonts w:ascii="Times New Roman" w:cs="Times New Roman" w:eastAsia="Times New Roman" w:hAnsi="Times New Roman"/>
                <w:b/>
                <w:bCs/>
                <w:sz w:val="16"/>
                <w:szCs w:val="16"/>
              </w:rPr>
              <w:t xml:space="preserve">Key Benefit</w:t>
            </w:r>
          </w:p>
        </w:tc>
        <w:tc>
          <w:tcPr>
            <w:tcW w:type="dxa" w:w="2520"/>
            <w:shd w:fill="DDE4EF" w:val="clear"/>
            <w:vAlign w:val="center"/>
          </w:tcPr>
          <w:p>
            <w:pPr>
              <w:spacing w:after="20"/>
              <w:jc w:val="center"/>
            </w:pPr>
            <w:r>
              <w:rPr>
                <w:rFonts w:ascii="Times New Roman" w:cs="Times New Roman" w:eastAsia="Times New Roman" w:hAnsi="Times New Roman"/>
                <w:b/>
                <w:bCs/>
                <w:sz w:val="16"/>
                <w:szCs w:val="16"/>
              </w:rPr>
              <w:t xml:space="preserve">Typical Use Case</w:t>
            </w:r>
          </w:p>
        </w:tc>
      </w:tr>
      <w:tr>
        <w:tc>
          <w:tcPr>
            <w:tcW w:type="dxa" w:w="1944"/>
            <w:vAlign w:val="center"/>
          </w:tcPr>
          <w:p>
            <w:pPr>
              <w:spacing w:after="20"/>
              <w:jc w:val="left"/>
            </w:pPr>
            <w:r>
              <w:rPr>
                <w:rFonts w:ascii="Times New Roman" w:cs="Times New Roman" w:eastAsia="Times New Roman" w:hAnsi="Times New Roman"/>
                <w:sz w:val="16"/>
                <w:szCs w:val="16"/>
              </w:rPr>
              <w:t xml:space="preserve">Virtual Network (VNet)</w:t>
            </w:r>
          </w:p>
        </w:tc>
        <w:tc>
          <w:tcPr>
            <w:tcW w:type="dxa" w:w="2232"/>
            <w:vAlign w:val="center"/>
          </w:tcPr>
          <w:p>
            <w:pPr>
              <w:spacing w:after="20"/>
              <w:jc w:val="left"/>
            </w:pPr>
            <w:r>
              <w:rPr>
                <w:rFonts w:ascii="Times New Roman" w:cs="Times New Roman" w:eastAsia="Times New Roman" w:hAnsi="Times New Roman"/>
                <w:sz w:val="16"/>
                <w:szCs w:val="16"/>
              </w:rPr>
              <w:t xml:space="preserve">Foundational connectivity for all Azure compute</w:t>
            </w:r>
          </w:p>
        </w:tc>
        <w:tc>
          <w:tcPr>
            <w:tcW w:type="dxa" w:w="2232"/>
            <w:vAlign w:val="center"/>
          </w:tcPr>
          <w:p>
            <w:pPr>
              <w:spacing w:after="20"/>
              <w:jc w:val="left"/>
            </w:pPr>
            <w:r>
              <w:rPr>
                <w:rFonts w:ascii="Times New Roman" w:cs="Times New Roman" w:eastAsia="Times New Roman" w:hAnsi="Times New Roman"/>
                <w:sz w:val="16"/>
                <w:szCs w:val="16"/>
              </w:rPr>
              <w:t xml:space="preserve">Subnets, NSGs, Private Link integration</w:t>
            </w:r>
          </w:p>
        </w:tc>
        <w:tc>
          <w:tcPr>
            <w:tcW w:type="dxa" w:w="2520"/>
            <w:vAlign w:val="center"/>
          </w:tcPr>
          <w:p>
            <w:pPr>
              <w:spacing w:after="20"/>
              <w:jc w:val="left"/>
            </w:pPr>
            <w:r>
              <w:rPr>
                <w:rFonts w:ascii="Times New Roman" w:cs="Times New Roman" w:eastAsia="Times New Roman" w:hAnsi="Times New Roman"/>
                <w:sz w:val="16"/>
                <w:szCs w:val="16"/>
              </w:rPr>
              <w:t xml:space="preserve">Baseline connectivity for any GPU VM or cluster</w:t>
            </w:r>
          </w:p>
        </w:tc>
      </w:tr>
      <w:tr>
        <w:tc>
          <w:tcPr>
            <w:tcW w:type="dxa" w:w="1944"/>
            <w:vAlign w:val="center"/>
          </w:tcPr>
          <w:p>
            <w:pPr>
              <w:spacing w:after="20"/>
              <w:jc w:val="left"/>
            </w:pPr>
            <w:r>
              <w:rPr>
                <w:rFonts w:ascii="Times New Roman" w:cs="Times New Roman" w:eastAsia="Times New Roman" w:hAnsi="Times New Roman"/>
                <w:sz w:val="16"/>
                <w:szCs w:val="16"/>
              </w:rPr>
              <w:t xml:space="preserve">Accelerated Networking</w:t>
            </w:r>
          </w:p>
        </w:tc>
        <w:tc>
          <w:tcPr>
            <w:tcW w:type="dxa" w:w="2232"/>
            <w:vAlign w:val="center"/>
          </w:tcPr>
          <w:p>
            <w:pPr>
              <w:spacing w:after="20"/>
              <w:jc w:val="left"/>
            </w:pPr>
            <w:r>
              <w:rPr>
                <w:rFonts w:ascii="Times New Roman" w:cs="Times New Roman" w:eastAsia="Times New Roman" w:hAnsi="Times New Roman"/>
                <w:sz w:val="16"/>
                <w:szCs w:val="16"/>
              </w:rPr>
              <w:t xml:space="preserve">Low-latency, high-throughput I/O via SR-IOV</w:t>
            </w:r>
          </w:p>
        </w:tc>
        <w:tc>
          <w:tcPr>
            <w:tcW w:type="dxa" w:w="2232"/>
            <w:vAlign w:val="center"/>
          </w:tcPr>
          <w:p>
            <w:pPr>
              <w:spacing w:after="20"/>
              <w:jc w:val="left"/>
            </w:pPr>
            <w:r>
              <w:rPr>
                <w:rFonts w:ascii="Times New Roman" w:cs="Times New Roman" w:eastAsia="Times New Roman" w:hAnsi="Times New Roman"/>
                <w:sz w:val="16"/>
                <w:szCs w:val="16"/>
              </w:rPr>
              <w:t xml:space="preserve">Reduced jitter and CPU overhead</w:t>
            </w:r>
          </w:p>
        </w:tc>
        <w:tc>
          <w:tcPr>
            <w:tcW w:type="dxa" w:w="2520"/>
            <w:vAlign w:val="center"/>
          </w:tcPr>
          <w:p>
            <w:pPr>
              <w:spacing w:after="20"/>
              <w:jc w:val="left"/>
            </w:pPr>
            <w:r>
              <w:rPr>
                <w:rFonts w:ascii="Times New Roman" w:cs="Times New Roman" w:eastAsia="Times New Roman" w:hAnsi="Times New Roman"/>
                <w:sz w:val="16"/>
                <w:szCs w:val="16"/>
              </w:rPr>
              <w:t xml:space="preserve">AI training/inference on N-series VMs or AKS GPU nodes</w:t>
            </w:r>
          </w:p>
        </w:tc>
      </w:tr>
      <w:tr>
        <w:tc>
          <w:tcPr>
            <w:tcW w:type="dxa" w:w="1944"/>
            <w:vAlign w:val="center"/>
          </w:tcPr>
          <w:p>
            <w:pPr>
              <w:spacing w:after="20"/>
              <w:jc w:val="left"/>
            </w:pPr>
            <w:r>
              <w:rPr>
                <w:rFonts w:ascii="Times New Roman" w:cs="Times New Roman" w:eastAsia="Times New Roman" w:hAnsi="Times New Roman"/>
                <w:sz w:val="16"/>
                <w:szCs w:val="16"/>
              </w:rPr>
              <w:t xml:space="preserve">InfiniBand (RDMA)</w:t>
            </w:r>
          </w:p>
        </w:tc>
        <w:tc>
          <w:tcPr>
            <w:tcW w:type="dxa" w:w="2232"/>
            <w:vAlign w:val="center"/>
          </w:tcPr>
          <w:p>
            <w:pPr>
              <w:spacing w:after="20"/>
              <w:jc w:val="left"/>
            </w:pPr>
            <w:r>
              <w:rPr>
                <w:rFonts w:ascii="Times New Roman" w:cs="Times New Roman" w:eastAsia="Times New Roman" w:hAnsi="Times New Roman"/>
                <w:sz w:val="16"/>
                <w:szCs w:val="16"/>
              </w:rPr>
              <w:t xml:space="preserve">High-bandwidth, low-latency GPU-to-GPU fabric</w:t>
            </w:r>
          </w:p>
        </w:tc>
        <w:tc>
          <w:tcPr>
            <w:tcW w:type="dxa" w:w="2232"/>
            <w:vAlign w:val="center"/>
          </w:tcPr>
          <w:p>
            <w:pPr>
              <w:spacing w:after="20"/>
              <w:jc w:val="left"/>
            </w:pPr>
            <w:r>
              <w:rPr>
                <w:rFonts w:ascii="Times New Roman" w:cs="Times New Roman" w:eastAsia="Times New Roman" w:hAnsi="Times New Roman"/>
                <w:sz w:val="16"/>
                <w:szCs w:val="16"/>
              </w:rPr>
              <w:t xml:space="preserve">GPUDirect RDMA between nodes</w:t>
            </w:r>
          </w:p>
        </w:tc>
        <w:tc>
          <w:tcPr>
            <w:tcW w:type="dxa" w:w="2520"/>
            <w:vAlign w:val="center"/>
          </w:tcPr>
          <w:p>
            <w:pPr>
              <w:spacing w:after="20"/>
              <w:jc w:val="left"/>
            </w:pPr>
            <w:r>
              <w:rPr>
                <w:rFonts w:ascii="Times New Roman" w:cs="Times New Roman" w:eastAsia="Times New Roman" w:hAnsi="Times New Roman"/>
                <w:sz w:val="16"/>
                <w:szCs w:val="16"/>
              </w:rPr>
              <w:t xml:space="preserve">Multi-node GPU clusters for large-scale training (ND-series)</w:t>
            </w:r>
          </w:p>
        </w:tc>
      </w:tr>
      <w:tr>
        <w:tc>
          <w:tcPr>
            <w:tcW w:type="dxa" w:w="1944"/>
            <w:vAlign w:val="center"/>
          </w:tcPr>
          <w:p>
            <w:pPr>
              <w:spacing w:after="20"/>
              <w:jc w:val="left"/>
            </w:pPr>
            <w:r>
              <w:rPr>
                <w:rFonts w:ascii="Times New Roman" w:cs="Times New Roman" w:eastAsia="Times New Roman" w:hAnsi="Times New Roman"/>
                <w:sz w:val="16"/>
                <w:szCs w:val="16"/>
              </w:rPr>
              <w:t xml:space="preserve">AKS Networking (CNI Overlay)</w:t>
            </w:r>
          </w:p>
        </w:tc>
        <w:tc>
          <w:tcPr>
            <w:tcW w:type="dxa" w:w="2232"/>
            <w:vAlign w:val="center"/>
          </w:tcPr>
          <w:p>
            <w:pPr>
              <w:spacing w:after="20"/>
              <w:jc w:val="left"/>
            </w:pPr>
            <w:r>
              <w:rPr>
                <w:rFonts w:ascii="Times New Roman" w:cs="Times New Roman" w:eastAsia="Times New Roman" w:hAnsi="Times New Roman"/>
                <w:sz w:val="16"/>
                <w:szCs w:val="16"/>
              </w:rPr>
              <w:t xml:space="preserve">Pod networking for containerized GPU workloads</w:t>
            </w:r>
          </w:p>
        </w:tc>
        <w:tc>
          <w:tcPr>
            <w:tcW w:type="dxa" w:w="2232"/>
            <w:vAlign w:val="center"/>
          </w:tcPr>
          <w:p>
            <w:pPr>
              <w:spacing w:after="20"/>
              <w:jc w:val="left"/>
            </w:pPr>
            <w:r>
              <w:rPr>
                <w:rFonts w:ascii="Times New Roman" w:cs="Times New Roman" w:eastAsia="Times New Roman" w:hAnsi="Times New Roman"/>
                <w:sz w:val="16"/>
                <w:szCs w:val="16"/>
              </w:rPr>
              <w:t xml:space="preserve">Efficient IP usage at cluster scale</w:t>
            </w:r>
          </w:p>
        </w:tc>
        <w:tc>
          <w:tcPr>
            <w:tcW w:type="dxa" w:w="2520"/>
            <w:vAlign w:val="center"/>
          </w:tcPr>
          <w:p>
            <w:pPr>
              <w:spacing w:after="20"/>
              <w:jc w:val="left"/>
            </w:pPr>
            <w:r>
              <w:rPr>
                <w:rFonts w:ascii="Times New Roman" w:cs="Times New Roman" w:eastAsia="Times New Roman" w:hAnsi="Times New Roman"/>
                <w:sz w:val="16"/>
                <w:szCs w:val="16"/>
              </w:rPr>
              <w:t xml:space="preserve">Containerized AI workloads with GPU scheduling</w:t>
            </w:r>
          </w:p>
        </w:tc>
      </w:tr>
      <w:tr>
        <w:tc>
          <w:tcPr>
            <w:tcW w:type="dxa" w:w="1944"/>
            <w:vAlign w:val="center"/>
          </w:tcPr>
          <w:p>
            <w:pPr>
              <w:spacing w:after="20"/>
              <w:jc w:val="left"/>
            </w:pPr>
            <w:r>
              <w:rPr>
                <w:rFonts w:ascii="Times New Roman" w:cs="Times New Roman" w:eastAsia="Times New Roman" w:hAnsi="Times New Roman"/>
                <w:sz w:val="16"/>
                <w:szCs w:val="16"/>
              </w:rPr>
              <w:t xml:space="preserve">ExpressRoute / VPN</w:t>
            </w:r>
          </w:p>
        </w:tc>
        <w:tc>
          <w:tcPr>
            <w:tcW w:type="dxa" w:w="2232"/>
            <w:vAlign w:val="center"/>
          </w:tcPr>
          <w:p>
            <w:pPr>
              <w:spacing w:after="20"/>
              <w:jc w:val="left"/>
            </w:pPr>
            <w:r>
              <w:rPr>
                <w:rFonts w:ascii="Times New Roman" w:cs="Times New Roman" w:eastAsia="Times New Roman" w:hAnsi="Times New Roman"/>
                <w:sz w:val="16"/>
                <w:szCs w:val="16"/>
              </w:rPr>
              <w:t xml:space="preserve">Private connectivity from on-premises to Azure</w:t>
            </w:r>
          </w:p>
        </w:tc>
        <w:tc>
          <w:tcPr>
            <w:tcW w:type="dxa" w:w="2232"/>
            <w:vAlign w:val="center"/>
          </w:tcPr>
          <w:p>
            <w:pPr>
              <w:spacing w:after="20"/>
              <w:jc w:val="left"/>
            </w:pPr>
            <w:r>
              <w:rPr>
                <w:rFonts w:ascii="Times New Roman" w:cs="Times New Roman" w:eastAsia="Times New Roman" w:hAnsi="Times New Roman"/>
                <w:sz w:val="16"/>
                <w:szCs w:val="16"/>
              </w:rPr>
              <w:t xml:space="preserve">Secure, predictable hybrid bandwidth</w:t>
            </w:r>
          </w:p>
        </w:tc>
        <w:tc>
          <w:tcPr>
            <w:tcW w:type="dxa" w:w="2520"/>
            <w:vAlign w:val="center"/>
          </w:tcPr>
          <w:p>
            <w:pPr>
              <w:spacing w:after="20"/>
              <w:jc w:val="left"/>
            </w:pPr>
            <w:r>
              <w:rPr>
                <w:rFonts w:ascii="Times New Roman" w:cs="Times New Roman" w:eastAsia="Times New Roman" w:hAnsi="Times New Roman"/>
                <w:sz w:val="16"/>
                <w:szCs w:val="16"/>
              </w:rPr>
              <w:t xml:space="preserve">Enterprises spanning on-prem and Azure GPU capacity</w:t>
            </w:r>
          </w:p>
        </w:tc>
      </w:tr>
      <w:tr>
        <w:tc>
          <w:tcPr>
            <w:tcW w:type="dxa" w:w="1944"/>
            <w:vAlign w:val="center"/>
          </w:tcPr>
          <w:p>
            <w:pPr>
              <w:spacing w:after="20"/>
              <w:jc w:val="left"/>
            </w:pPr>
            <w:r>
              <w:rPr>
                <w:rFonts w:ascii="Times New Roman" w:cs="Times New Roman" w:eastAsia="Times New Roman" w:hAnsi="Times New Roman"/>
                <w:sz w:val="16"/>
                <w:szCs w:val="16"/>
              </w:rPr>
              <w:t xml:space="preserve">Load Balancers / Private Endpoints</w:t>
            </w:r>
          </w:p>
        </w:tc>
        <w:tc>
          <w:tcPr>
            <w:tcW w:type="dxa" w:w="2232"/>
            <w:vAlign w:val="center"/>
          </w:tcPr>
          <w:p>
            <w:pPr>
              <w:spacing w:after="20"/>
              <w:jc w:val="left"/>
            </w:pPr>
            <w:r>
              <w:rPr>
                <w:rFonts w:ascii="Times New Roman" w:cs="Times New Roman" w:eastAsia="Times New Roman" w:hAnsi="Times New Roman"/>
                <w:sz w:val="16"/>
                <w:szCs w:val="16"/>
              </w:rPr>
              <w:t xml:space="preserve">Traffic distribution and secure service access</w:t>
            </w:r>
          </w:p>
        </w:tc>
        <w:tc>
          <w:tcPr>
            <w:tcW w:type="dxa" w:w="2232"/>
            <w:vAlign w:val="center"/>
          </w:tcPr>
          <w:p>
            <w:pPr>
              <w:spacing w:after="20"/>
              <w:jc w:val="left"/>
            </w:pPr>
            <w:r>
              <w:rPr>
                <w:rFonts w:ascii="Times New Roman" w:cs="Times New Roman" w:eastAsia="Times New Roman" w:hAnsi="Times New Roman"/>
                <w:sz w:val="16"/>
                <w:szCs w:val="16"/>
              </w:rPr>
              <w:t xml:space="preserve">Resilient multi-node service exposure</w:t>
            </w:r>
          </w:p>
        </w:tc>
        <w:tc>
          <w:tcPr>
            <w:tcW w:type="dxa" w:w="2520"/>
            <w:vAlign w:val="center"/>
          </w:tcPr>
          <w:p>
            <w:pPr>
              <w:spacing w:after="20"/>
              <w:jc w:val="left"/>
            </w:pPr>
            <w:r>
              <w:rPr>
                <w:rFonts w:ascii="Times New Roman" w:cs="Times New Roman" w:eastAsia="Times New Roman" w:hAnsi="Times New Roman"/>
                <w:sz w:val="16"/>
                <w:szCs w:val="16"/>
              </w:rPr>
              <w:t xml:space="preserve">Multi-GPU inference services, distributed training control planes</w:t>
            </w:r>
          </w:p>
        </w:tc>
      </w:tr>
    </w:tbl>
    <w:p>
      <w:pPr>
        <w:spacing w:after="160" w:before="60"/>
        <w:jc w:val="center"/>
      </w:pPr>
      <w:r>
        <w:rPr>
          <w:rFonts w:ascii="Times New Roman" w:cs="Times New Roman" w:eastAsia="Times New Roman" w:hAnsi="Times New Roman"/>
          <w:b/>
          <w:bCs/>
          <w:sz w:val="16"/>
          <w:szCs w:val="16"/>
        </w:rPr>
        <w:t xml:space="preserve">TABLE II.  AZURE NETWORKING BUILDING BLOCKS EVALUATED FOR THE GPU CLUSTER</w:t>
      </w:r>
    </w:p>
    <w:p>
      <w:pPr>
        <w:sectPr>
          <w:type w:val="continuous"/>
          <w:pgSz w:w="12240" w:h="15840" w:orient="portrait"/>
          <w:pgMar w:top="720" w:right="720" w:bottom="720" w:left="720" w:header="708" w:footer="708" w:gutter="0"/>
          <w:pgNumType/>
          <w:cols w:num="1"/>
          <w:docGrid w:linePitch="360"/>
        </w:sectPr>
      </w:pPr>
    </w:p>
    <w:p>
      <w:pPr>
        <w:spacing w:after="80" w:before="140"/>
        <w:jc w:val="left"/>
      </w:pPr>
      <w:r>
        <w:rPr>
          <w:rFonts w:ascii="Times New Roman" w:cs="Times New Roman" w:eastAsia="Times New Roman" w:hAnsi="Times New Roman"/>
          <w:b/>
          <w:bCs/>
          <w:i/>
          <w:iCs/>
          <w:sz w:val="18"/>
          <w:szCs w:val="18"/>
        </w:rPr>
        <w:t xml:space="preserve">A. Selected Networking Components</w:t>
      </w:r>
    </w:p>
    <w:p>
      <w:pPr>
        <w:spacing w:after="100" w:before="0" w:line="252"/>
        <w:jc w:val="both"/>
      </w:pPr>
      <w:r>
        <w:rPr>
          <w:rFonts w:ascii="Times New Roman" w:cs="Times New Roman" w:eastAsia="Times New Roman" w:hAnsi="Times New Roman"/>
          <w:sz w:val="18"/>
          <w:szCs w:val="18"/>
        </w:rPr>
        <w:t xml:space="preserve">This deployment selects InfiniBand (RDMA) as the GPU-to-GPU data-path fabric and AKS CNI Overlay networking as the control-plane and pod-networking layer. InfiniBand is required because tightly coupled multi-node training depends on GPUDirect RDMA to avoid CPU-mediated data copies; CNI Overlay is preferred over the legacy kubenet plugin because it offers near-VM network performance with substantially lower IP-address pressure at cluster scale, and because kubenet is scheduled for retirement.</w:t>
      </w:r>
    </w:p>
    <w:p>
      <w:pPr>
        <w:spacing w:after="80" w:before="140"/>
        <w:jc w:val="left"/>
      </w:pPr>
      <w:r>
        <w:rPr>
          <w:rFonts w:ascii="Times New Roman" w:cs="Times New Roman" w:eastAsia="Times New Roman" w:hAnsi="Times New Roman"/>
          <w:b/>
          <w:bCs/>
          <w:i/>
          <w:iCs/>
          <w:sz w:val="18"/>
          <w:szCs w:val="18"/>
        </w:rPr>
        <w:t xml:space="preserve">B. Spine–Leaf Topology</w:t>
      </w:r>
    </w:p>
    <w:p>
      <w:pPr>
        <w:spacing w:after="100" w:before="0" w:line="252"/>
        <w:jc w:val="both"/>
      </w:pPr>
      <w:r>
        <w:rPr>
          <w:rFonts w:ascii="Times New Roman" w:cs="Times New Roman" w:eastAsia="Times New Roman" w:hAnsi="Times New Roman"/>
          <w:sz w:val="18"/>
          <w:szCs w:val="18"/>
        </w:rPr>
        <w:t xml:space="preserve">Node-to-node communication is carried over a non-blocking spine–leaf InfiniBand fabric (Fig. 1). Leaf switches connect directly to groups of ND H100 v5 nodes; spine switches aggregate multiple leaves to allow horizontal scaling to clusters of hundreds or thousands of GPUs while keeping worst-case hop count low and latency predictable. Each GPU is given a dedicated 400 Gb/s InfiniBand link (via a paired CX7 adapter), and NCCL collective operations — all-reduce, reduce-scatter, all-gather — are configured to use this fabric directly rather than traversing the front-end Ethernet network.</w:t>
      </w:r>
    </w:p>
    <w:p>
      <w:pPr>
        <w:spacing w:after="30" w:before="140"/>
        <w:jc w:val="center"/>
      </w:pPr>
      <w:r>
        <w:drawing>
          <wp:inline distT="0" distB="0" distL="0" distR="0">
            <wp:extent cx="292417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24175" cy="2447925"/>
                    </a:xfrm>
                    <a:prstGeom prst="rect">
                      <a:avLst/>
                    </a:prstGeom>
                  </pic:spPr>
                </pic:pic>
              </a:graphicData>
            </a:graphic>
          </wp:inline>
        </w:drawing>
      </w:r>
    </w:p>
    <w:p>
      <w:pPr>
        <w:spacing w:after="160"/>
        <w:jc w:val="center"/>
      </w:pPr>
      <w:r>
        <w:rPr>
          <w:rFonts w:ascii="Times New Roman" w:cs="Times New Roman" w:eastAsia="Times New Roman" w:hAnsi="Times New Roman"/>
          <w:i/>
          <w:iCs/>
          <w:sz w:val="16"/>
          <w:szCs w:val="16"/>
        </w:rPr>
        <w:t xml:space="preserve">Fig. 1. Spine–leaf InfiniBand network topology connecting groups of ND H100 v5 nodes through leaf switches to an aggregating spine layer.</w:t>
      </w:r>
    </w:p>
    <w:p>
      <w:pPr>
        <w:spacing w:after="80" w:before="140"/>
        <w:jc w:val="left"/>
      </w:pPr>
      <w:r>
        <w:rPr>
          <w:rFonts w:ascii="Times New Roman" w:cs="Times New Roman" w:eastAsia="Times New Roman" w:hAnsi="Times New Roman"/>
          <w:b/>
          <w:bCs/>
          <w:i/>
          <w:iCs/>
          <w:sz w:val="18"/>
          <w:szCs w:val="18"/>
        </w:rPr>
        <w:t xml:space="preserve">C. Intra-Node GPU Interconnect</w:t>
      </w:r>
    </w:p>
    <w:p>
      <w:pPr>
        <w:spacing w:after="100" w:before="0" w:line="252"/>
        <w:jc w:val="both"/>
      </w:pPr>
      <w:r>
        <w:rPr>
          <w:rFonts w:ascii="Times New Roman" w:cs="Times New Roman" w:eastAsia="Times New Roman" w:hAnsi="Times New Roman"/>
          <w:sz w:val="18"/>
          <w:szCs w:val="18"/>
        </w:rPr>
        <w:t xml:space="preserve">Within each ND H100 v5 node, the eight H100 GPUs are connected through an NVLink 4.0 / NVSwitch mesh delivering approximately 900 GB/s of bidirectional bandwidth per GPU (Fig. 3), which is used for local gradient aggregation before any traffic crosses the inter-node InfiniBand fabric. Each GPU is additionally paired with a dedicated PCIe Gen5 path to the host CPU and its own 400 Gb/s CX7 InfiniBand NIC, enabling GPUDirect RDMA transfers directly between GPU memory and the network without staging through host memory.</w:t>
      </w:r>
    </w:p>
    <w:p>
      <w:pPr>
        <w:spacing w:after="30" w:before="140"/>
        <w:jc w:val="center"/>
      </w:pPr>
      <w:r>
        <w:drawing>
          <wp:inline distT="0" distB="0" distL="0" distR="0">
            <wp:extent cx="2924175"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24175" cy="2819400"/>
                    </a:xfrm>
                    <a:prstGeom prst="rect">
                      <a:avLst/>
                    </a:prstGeom>
                  </pic:spPr>
                </pic:pic>
              </a:graphicData>
            </a:graphic>
          </wp:inline>
        </w:drawing>
      </w:r>
    </w:p>
    <w:p>
      <w:pPr>
        <w:spacing w:after="160"/>
        <w:jc w:val="center"/>
      </w:pPr>
      <w:r>
        <w:rPr>
          <w:rFonts w:ascii="Times New Roman" w:cs="Times New Roman" w:eastAsia="Times New Roman" w:hAnsi="Times New Roman"/>
          <w:i/>
          <w:iCs/>
          <w:sz w:val="16"/>
          <w:szCs w:val="16"/>
        </w:rPr>
        <w:t xml:space="preserve">Fig. 3. Intra-node GPU interconnect: eight H100 GPUs joined by an NVLink 4.0/NVSwitch mesh, each with a dedicated PCIe path to the host CPU and a dedicated InfiniBand NIC.</w:t>
      </w:r>
    </w:p>
    <w:p>
      <w:pPr>
        <w:spacing w:after="80" w:before="140"/>
        <w:jc w:val="left"/>
      </w:pPr>
      <w:r>
        <w:rPr>
          <w:rFonts w:ascii="Times New Roman" w:cs="Times New Roman" w:eastAsia="Times New Roman" w:hAnsi="Times New Roman"/>
          <w:b/>
          <w:bCs/>
          <w:i/>
          <w:iCs/>
          <w:sz w:val="18"/>
          <w:szCs w:val="18"/>
        </w:rPr>
        <w:t xml:space="preserve">D. End-to-End Infrastructure View</w:t>
      </w:r>
    </w:p>
    <w:p>
      <w:pPr>
        <w:spacing w:after="100" w:before="0" w:line="252"/>
        <w:jc w:val="both"/>
      </w:pPr>
      <w:r>
        <w:rPr>
          <w:rFonts w:ascii="Times New Roman" w:cs="Times New Roman" w:eastAsia="Times New Roman" w:hAnsi="Times New Roman"/>
          <w:sz w:val="18"/>
          <w:szCs w:val="18"/>
        </w:rPr>
        <w:t xml:space="preserve">Fig. 2 summarizes the full stack as a layered system: a compute layer of ND H100 v5 GPU nodes; a network layer combining the InfiniBand data path with a separate 100 GbE front-end for control-plane and AKS traffic; a storage layer spanning local NVMe, shared parallel storage, and archival object storage (Section VI); and a management/monitoring layer comprising the AKS control plane, NVIDIA DCGM, and Prometheus. Separating the GPU data path from the front-end control network is deliberate: it prevents management and orchestration traffic from competing with latency-sensitive collective-communication traffic during training.</w:t>
      </w:r>
    </w:p>
    <w:p>
      <w:pPr>
        <w:spacing w:after="30" w:before="140"/>
        <w:jc w:val="center"/>
      </w:pPr>
      <w:r>
        <w:drawing>
          <wp:inline distT="0" distB="0" distL="0" distR="0">
            <wp:extent cx="292417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4175" cy="3429000"/>
                    </a:xfrm>
                    <a:prstGeom prst="rect">
                      <a:avLst/>
                    </a:prstGeom>
                  </pic:spPr>
                </pic:pic>
              </a:graphicData>
            </a:graphic>
          </wp:inline>
        </w:drawing>
      </w:r>
    </w:p>
    <w:p>
      <w:pPr>
        <w:spacing w:after="160"/>
        <w:jc w:val="center"/>
      </w:pPr>
      <w:r>
        <w:rPr>
          <w:rFonts w:ascii="Times New Roman" w:cs="Times New Roman" w:eastAsia="Times New Roman" w:hAnsi="Times New Roman"/>
          <w:i/>
          <w:iCs/>
          <w:sz w:val="16"/>
          <w:szCs w:val="16"/>
        </w:rPr>
        <w:t xml:space="preserve">Fig. 2. End-to-end GPU infrastructure layout spanning compute, network, storage, and management/monitoring layers.</w:t>
      </w:r>
    </w:p>
    <w:p>
      <w:pPr>
        <w:spacing w:after="120" w:before="220"/>
        <w:jc w:val="center"/>
      </w:pPr>
      <w:r>
        <w:rPr>
          <w:rFonts w:ascii="Times New Roman" w:cs="Times New Roman" w:eastAsia="Times New Roman" w:hAnsi="Times New Roman"/>
          <w:b/>
          <w:bCs/>
          <w:sz w:val="19"/>
          <w:szCs w:val="19"/>
        </w:rPr>
        <w:t xml:space="preserve">VI. Storage Planning</w:t>
      </w:r>
    </w:p>
    <w:p>
      <w:pPr>
        <w:spacing w:after="100" w:before="0" w:line="252"/>
        <w:jc w:val="both"/>
      </w:pPr>
      <w:r>
        <w:rPr>
          <w:rFonts w:ascii="Times New Roman" w:cs="Times New Roman" w:eastAsia="Times New Roman" w:hAnsi="Times New Roman"/>
          <w:sz w:val="18"/>
          <w:szCs w:val="18"/>
        </w:rPr>
        <w:t xml:space="preserve">Training throughput is only as fast as the slowest stage feeding the GPUs, so storage is tiered by access pattern rather than provisioned as a single homogeneous volume (Fig. 5): local NVMe on each compute node serves as scratch space and in-flight checkpoint staging; a shared parallel file system — Azure Files Premium or Azure NetApp Files, both supporting ReadWriteMany access — serves training datasets to all nodes concurrently; and Azure Blob Storage provides cost-effective, durable archival for completed checkpoints and final model artifacts.</w:t>
      </w:r>
    </w:p>
    <w:p>
      <w:pPr>
        <w:spacing w:after="30" w:before="140"/>
        <w:jc w:val="center"/>
      </w:pPr>
      <w:r>
        <w:drawing>
          <wp:inline distT="0" distB="0" distL="0" distR="0">
            <wp:extent cx="29241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24175" cy="2428875"/>
                    </a:xfrm>
                    <a:prstGeom prst="rect">
                      <a:avLst/>
                    </a:prstGeom>
                  </pic:spPr>
                </pic:pic>
              </a:graphicData>
            </a:graphic>
          </wp:inline>
        </w:drawing>
      </w:r>
    </w:p>
    <w:p>
      <w:pPr>
        <w:spacing w:after="160"/>
        <w:jc w:val="center"/>
      </w:pPr>
      <w:r>
        <w:rPr>
          <w:rFonts w:ascii="Times New Roman" w:cs="Times New Roman" w:eastAsia="Times New Roman" w:hAnsi="Times New Roman"/>
          <w:i/>
          <w:iCs/>
          <w:sz w:val="16"/>
          <w:szCs w:val="16"/>
        </w:rPr>
        <w:t xml:space="preserve">Fig. 5. Storage tiering architecture: local NVMe scratch, shared parallel storage for active datasets, and Blob Storage for durable archival.</w:t>
      </w:r>
    </w:p>
    <w:p>
      <w:pPr>
        <w:sectPr>
          <w:type w:val="continuous"/>
          <w:pgSz w:w="12240" w:h="15840" w:orient="portrait"/>
          <w:pgMar w:top="720" w:right="720" w:bottom="720" w:left="720" w:header="708" w:footer="708" w:gutter="0"/>
          <w:pgNumType/>
          <w:cols w:space="288" w:num="2"/>
          <w:docGrid w:linePitch="360"/>
        </w:sectPr>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232"/>
        <w:gridCol w:w="2664"/>
        <w:gridCol w:w="2088"/>
        <w:gridCol w:w="2520"/>
      </w:tblGrid>
      <w:tr>
        <w:trPr>
          <w:tblHeader/>
        </w:trPr>
        <w:tc>
          <w:tcPr>
            <w:tcW w:type="dxa" w:w="2232"/>
            <w:shd w:fill="DDE4EF" w:val="clear"/>
            <w:vAlign w:val="center"/>
          </w:tcPr>
          <w:p>
            <w:pPr>
              <w:spacing w:after="20"/>
              <w:jc w:val="center"/>
            </w:pPr>
            <w:r>
              <w:rPr>
                <w:rFonts w:ascii="Times New Roman" w:cs="Times New Roman" w:eastAsia="Times New Roman" w:hAnsi="Times New Roman"/>
                <w:b/>
                <w:bCs/>
                <w:sz w:val="16"/>
                <w:szCs w:val="16"/>
              </w:rPr>
              <w:t xml:space="preserve">Storage Type</w:t>
            </w:r>
          </w:p>
        </w:tc>
        <w:tc>
          <w:tcPr>
            <w:tcW w:type="dxa" w:w="2664"/>
            <w:shd w:fill="DDE4EF" w:val="clear"/>
            <w:vAlign w:val="center"/>
          </w:tcPr>
          <w:p>
            <w:pPr>
              <w:spacing w:after="20"/>
              <w:jc w:val="center"/>
            </w:pPr>
            <w:r>
              <w:rPr>
                <w:rFonts w:ascii="Times New Roman" w:cs="Times New Roman" w:eastAsia="Times New Roman" w:hAnsi="Times New Roman"/>
                <w:b/>
                <w:bCs/>
                <w:sz w:val="16"/>
                <w:szCs w:val="16"/>
              </w:rPr>
              <w:t xml:space="preserve">Performance Profile</w:t>
            </w:r>
          </w:p>
        </w:tc>
        <w:tc>
          <w:tcPr>
            <w:tcW w:type="dxa" w:w="2088"/>
            <w:shd w:fill="DDE4EF" w:val="clear"/>
            <w:vAlign w:val="center"/>
          </w:tcPr>
          <w:p>
            <w:pPr>
              <w:spacing w:after="20"/>
              <w:jc w:val="center"/>
            </w:pPr>
            <w:r>
              <w:rPr>
                <w:rFonts w:ascii="Times New Roman" w:cs="Times New Roman" w:eastAsia="Times New Roman" w:hAnsi="Times New Roman"/>
                <w:b/>
                <w:bCs/>
                <w:sz w:val="16"/>
                <w:szCs w:val="16"/>
              </w:rPr>
              <w:t xml:space="preserve">Access Mode</w:t>
            </w:r>
          </w:p>
        </w:tc>
        <w:tc>
          <w:tcPr>
            <w:tcW w:type="dxa" w:w="2520"/>
            <w:shd w:fill="DDE4EF" w:val="clear"/>
            <w:vAlign w:val="center"/>
          </w:tcPr>
          <w:p>
            <w:pPr>
              <w:spacing w:after="20"/>
              <w:jc w:val="center"/>
            </w:pPr>
            <w:r>
              <w:rPr>
                <w:rFonts w:ascii="Times New Roman" w:cs="Times New Roman" w:eastAsia="Times New Roman" w:hAnsi="Times New Roman"/>
                <w:b/>
                <w:bCs/>
                <w:sz w:val="16"/>
                <w:szCs w:val="16"/>
              </w:rPr>
              <w:t xml:space="preserve">Recommended Use</w:t>
            </w:r>
          </w:p>
        </w:tc>
      </w:tr>
      <w:tr>
        <w:tc>
          <w:tcPr>
            <w:tcW w:type="dxa" w:w="2232"/>
            <w:vAlign w:val="center"/>
          </w:tcPr>
          <w:p>
            <w:pPr>
              <w:spacing w:after="20"/>
              <w:jc w:val="left"/>
            </w:pPr>
            <w:r>
              <w:rPr>
                <w:rFonts w:ascii="Times New Roman" w:cs="Times New Roman" w:eastAsia="Times New Roman" w:hAnsi="Times New Roman"/>
                <w:sz w:val="16"/>
                <w:szCs w:val="16"/>
              </w:rPr>
              <w:t xml:space="preserve">Premium SSD Managed Disk</w:t>
            </w:r>
          </w:p>
        </w:tc>
        <w:tc>
          <w:tcPr>
            <w:tcW w:type="dxa" w:w="2664"/>
            <w:vAlign w:val="center"/>
          </w:tcPr>
          <w:p>
            <w:pPr>
              <w:spacing w:after="20"/>
              <w:jc w:val="left"/>
            </w:pPr>
            <w:r>
              <w:rPr>
                <w:rFonts w:ascii="Times New Roman" w:cs="Times New Roman" w:eastAsia="Times New Roman" w:hAnsi="Times New Roman"/>
                <w:sz w:val="16"/>
                <w:szCs w:val="16"/>
              </w:rPr>
              <w:t xml:space="preserve">High IOPS, low latency</w:t>
            </w:r>
          </w:p>
        </w:tc>
        <w:tc>
          <w:tcPr>
            <w:tcW w:type="dxa" w:w="2088"/>
            <w:vAlign w:val="center"/>
          </w:tcPr>
          <w:p>
            <w:pPr>
              <w:spacing w:after="20"/>
              <w:jc w:val="left"/>
            </w:pPr>
            <w:r>
              <w:rPr>
                <w:rFonts w:ascii="Times New Roman" w:cs="Times New Roman" w:eastAsia="Times New Roman" w:hAnsi="Times New Roman"/>
                <w:sz w:val="16"/>
                <w:szCs w:val="16"/>
              </w:rPr>
              <w:t xml:space="preserve">ReadWriteOnce (per node)</w:t>
            </w:r>
          </w:p>
        </w:tc>
        <w:tc>
          <w:tcPr>
            <w:tcW w:type="dxa" w:w="2520"/>
            <w:vAlign w:val="center"/>
          </w:tcPr>
          <w:p>
            <w:pPr>
              <w:spacing w:after="20"/>
              <w:jc w:val="left"/>
            </w:pPr>
            <w:r>
              <w:rPr>
                <w:rFonts w:ascii="Times New Roman" w:cs="Times New Roman" w:eastAsia="Times New Roman" w:hAnsi="Times New Roman"/>
                <w:sz w:val="16"/>
                <w:szCs w:val="16"/>
              </w:rPr>
              <w:t xml:space="preserve">Node OS disk; single-node local caching</w:t>
            </w:r>
          </w:p>
        </w:tc>
      </w:tr>
      <w:tr>
        <w:tc>
          <w:tcPr>
            <w:tcW w:type="dxa" w:w="2232"/>
            <w:vAlign w:val="center"/>
          </w:tcPr>
          <w:p>
            <w:pPr>
              <w:spacing w:after="20"/>
              <w:jc w:val="left"/>
            </w:pPr>
            <w:r>
              <w:rPr>
                <w:rFonts w:ascii="Times New Roman" w:cs="Times New Roman" w:eastAsia="Times New Roman" w:hAnsi="Times New Roman"/>
                <w:sz w:val="16"/>
                <w:szCs w:val="16"/>
              </w:rPr>
              <w:t xml:space="preserve">Ultra Disk</w:t>
            </w:r>
          </w:p>
        </w:tc>
        <w:tc>
          <w:tcPr>
            <w:tcW w:type="dxa" w:w="2664"/>
            <w:vAlign w:val="center"/>
          </w:tcPr>
          <w:p>
            <w:pPr>
              <w:spacing w:after="20"/>
              <w:jc w:val="left"/>
            </w:pPr>
            <w:r>
              <w:rPr>
                <w:rFonts w:ascii="Times New Roman" w:cs="Times New Roman" w:eastAsia="Times New Roman" w:hAnsi="Times New Roman"/>
                <w:sz w:val="16"/>
                <w:szCs w:val="16"/>
              </w:rPr>
              <w:t xml:space="preserve">Extreme performance, up to 160,000 IOPS</w:t>
            </w:r>
          </w:p>
        </w:tc>
        <w:tc>
          <w:tcPr>
            <w:tcW w:type="dxa" w:w="2088"/>
            <w:vAlign w:val="center"/>
          </w:tcPr>
          <w:p>
            <w:pPr>
              <w:spacing w:after="20"/>
              <w:jc w:val="left"/>
            </w:pPr>
            <w:r>
              <w:rPr>
                <w:rFonts w:ascii="Times New Roman" w:cs="Times New Roman" w:eastAsia="Times New Roman" w:hAnsi="Times New Roman"/>
                <w:sz w:val="16"/>
                <w:szCs w:val="16"/>
              </w:rPr>
              <w:t xml:space="preserve">ReadWriteOnce (per node)</w:t>
            </w:r>
          </w:p>
        </w:tc>
        <w:tc>
          <w:tcPr>
            <w:tcW w:type="dxa" w:w="2520"/>
            <w:vAlign w:val="center"/>
          </w:tcPr>
          <w:p>
            <w:pPr>
              <w:spacing w:after="20"/>
              <w:jc w:val="left"/>
            </w:pPr>
            <w:r>
              <w:rPr>
                <w:rFonts w:ascii="Times New Roman" w:cs="Times New Roman" w:eastAsia="Times New Roman" w:hAnsi="Times New Roman"/>
                <w:sz w:val="16"/>
                <w:szCs w:val="16"/>
              </w:rPr>
              <w:t xml:space="preserve">Mission-critical, heavy read/write AI workloads</w:t>
            </w:r>
          </w:p>
        </w:tc>
      </w:tr>
      <w:tr>
        <w:tc>
          <w:tcPr>
            <w:tcW w:type="dxa" w:w="2232"/>
            <w:vAlign w:val="center"/>
          </w:tcPr>
          <w:p>
            <w:pPr>
              <w:spacing w:after="20"/>
              <w:jc w:val="left"/>
            </w:pPr>
            <w:r>
              <w:rPr>
                <w:rFonts w:ascii="Times New Roman" w:cs="Times New Roman" w:eastAsia="Times New Roman" w:hAnsi="Times New Roman"/>
                <w:sz w:val="16"/>
                <w:szCs w:val="16"/>
              </w:rPr>
              <w:t xml:space="preserve">Azure Files Premium</w:t>
            </w:r>
          </w:p>
        </w:tc>
        <w:tc>
          <w:tcPr>
            <w:tcW w:type="dxa" w:w="2664"/>
            <w:vAlign w:val="center"/>
          </w:tcPr>
          <w:p>
            <w:pPr>
              <w:spacing w:after="20"/>
              <w:jc w:val="left"/>
            </w:pPr>
            <w:r>
              <w:rPr>
                <w:rFonts w:ascii="Times New Roman" w:cs="Times New Roman" w:eastAsia="Times New Roman" w:hAnsi="Times New Roman"/>
                <w:sz w:val="16"/>
                <w:szCs w:val="16"/>
              </w:rPr>
              <w:t xml:space="preserve">High-throughput SMB/NFS shares</w:t>
            </w:r>
          </w:p>
        </w:tc>
        <w:tc>
          <w:tcPr>
            <w:tcW w:type="dxa" w:w="2088"/>
            <w:vAlign w:val="center"/>
          </w:tcPr>
          <w:p>
            <w:pPr>
              <w:spacing w:after="20"/>
              <w:jc w:val="left"/>
            </w:pPr>
            <w:r>
              <w:rPr>
                <w:rFonts w:ascii="Times New Roman" w:cs="Times New Roman" w:eastAsia="Times New Roman" w:hAnsi="Times New Roman"/>
                <w:sz w:val="16"/>
                <w:szCs w:val="16"/>
              </w:rPr>
              <w:t xml:space="preserve">ReadWriteMany (shared)</w:t>
            </w:r>
          </w:p>
        </w:tc>
        <w:tc>
          <w:tcPr>
            <w:tcW w:type="dxa" w:w="2520"/>
            <w:vAlign w:val="center"/>
          </w:tcPr>
          <w:p>
            <w:pPr>
              <w:spacing w:after="20"/>
              <w:jc w:val="left"/>
            </w:pPr>
            <w:r>
              <w:rPr>
                <w:rFonts w:ascii="Times New Roman" w:cs="Times New Roman" w:eastAsia="Times New Roman" w:hAnsi="Times New Roman"/>
                <w:sz w:val="16"/>
                <w:szCs w:val="16"/>
              </w:rPr>
              <w:t xml:space="preserve">Sharing datasets across multiple GPU nodes</w:t>
            </w:r>
          </w:p>
        </w:tc>
      </w:tr>
      <w:tr>
        <w:tc>
          <w:tcPr>
            <w:tcW w:type="dxa" w:w="2232"/>
            <w:vAlign w:val="center"/>
          </w:tcPr>
          <w:p>
            <w:pPr>
              <w:spacing w:after="20"/>
              <w:jc w:val="left"/>
            </w:pPr>
            <w:r>
              <w:rPr>
                <w:rFonts w:ascii="Times New Roman" w:cs="Times New Roman" w:eastAsia="Times New Roman" w:hAnsi="Times New Roman"/>
                <w:sz w:val="16"/>
                <w:szCs w:val="16"/>
              </w:rPr>
              <w:t xml:space="preserve">Azure NetApp Files</w:t>
            </w:r>
          </w:p>
        </w:tc>
        <w:tc>
          <w:tcPr>
            <w:tcW w:type="dxa" w:w="2664"/>
            <w:vAlign w:val="center"/>
          </w:tcPr>
          <w:p>
            <w:pPr>
              <w:spacing w:after="20"/>
              <w:jc w:val="left"/>
            </w:pPr>
            <w:r>
              <w:rPr>
                <w:rFonts w:ascii="Times New Roman" w:cs="Times New Roman" w:eastAsia="Times New Roman" w:hAnsi="Times New Roman"/>
                <w:sz w:val="16"/>
                <w:szCs w:val="16"/>
              </w:rPr>
              <w:t xml:space="preserve">Enterprise-grade, low-latency shared storage</w:t>
            </w:r>
          </w:p>
        </w:tc>
        <w:tc>
          <w:tcPr>
            <w:tcW w:type="dxa" w:w="2088"/>
            <w:vAlign w:val="center"/>
          </w:tcPr>
          <w:p>
            <w:pPr>
              <w:spacing w:after="20"/>
              <w:jc w:val="left"/>
            </w:pPr>
            <w:r>
              <w:rPr>
                <w:rFonts w:ascii="Times New Roman" w:cs="Times New Roman" w:eastAsia="Times New Roman" w:hAnsi="Times New Roman"/>
                <w:sz w:val="16"/>
                <w:szCs w:val="16"/>
              </w:rPr>
              <w:t xml:space="preserve">ReadWriteMany (shared)</w:t>
            </w:r>
          </w:p>
        </w:tc>
        <w:tc>
          <w:tcPr>
            <w:tcW w:type="dxa" w:w="2520"/>
            <w:vAlign w:val="center"/>
          </w:tcPr>
          <w:p>
            <w:pPr>
              <w:spacing w:after="20"/>
              <w:jc w:val="left"/>
            </w:pPr>
            <w:r>
              <w:rPr>
                <w:rFonts w:ascii="Times New Roman" w:cs="Times New Roman" w:eastAsia="Times New Roman" w:hAnsi="Times New Roman"/>
                <w:sz w:val="16"/>
                <w:szCs w:val="16"/>
              </w:rPr>
              <w:t xml:space="preserve">Distributed training (e.g., PyTorch DDP, Horovod)</w:t>
            </w:r>
          </w:p>
        </w:tc>
      </w:tr>
      <w:tr>
        <w:tc>
          <w:tcPr>
            <w:tcW w:type="dxa" w:w="2232"/>
            <w:vAlign w:val="center"/>
          </w:tcPr>
          <w:p>
            <w:pPr>
              <w:spacing w:after="20"/>
              <w:jc w:val="left"/>
            </w:pPr>
            <w:r>
              <w:rPr>
                <w:rFonts w:ascii="Times New Roman" w:cs="Times New Roman" w:eastAsia="Times New Roman" w:hAnsi="Times New Roman"/>
                <w:sz w:val="16"/>
                <w:szCs w:val="16"/>
              </w:rPr>
              <w:t xml:space="preserve">Azure Blob Storage</w:t>
            </w:r>
          </w:p>
        </w:tc>
        <w:tc>
          <w:tcPr>
            <w:tcW w:type="dxa" w:w="2664"/>
            <w:vAlign w:val="center"/>
          </w:tcPr>
          <w:p>
            <w:pPr>
              <w:spacing w:after="20"/>
              <w:jc w:val="left"/>
            </w:pPr>
            <w:r>
              <w:rPr>
                <w:rFonts w:ascii="Times New Roman" w:cs="Times New Roman" w:eastAsia="Times New Roman" w:hAnsi="Times New Roman"/>
                <w:sz w:val="16"/>
                <w:szCs w:val="16"/>
              </w:rPr>
              <w:t xml:space="preserve">Cost-effective object storage</w:t>
            </w:r>
          </w:p>
        </w:tc>
        <w:tc>
          <w:tcPr>
            <w:tcW w:type="dxa" w:w="2088"/>
            <w:vAlign w:val="center"/>
          </w:tcPr>
          <w:p>
            <w:pPr>
              <w:spacing w:after="20"/>
              <w:jc w:val="left"/>
            </w:pPr>
            <w:r>
              <w:rPr>
                <w:rFonts w:ascii="Times New Roman" w:cs="Times New Roman" w:eastAsia="Times New Roman" w:hAnsi="Times New Roman"/>
                <w:sz w:val="16"/>
                <w:szCs w:val="16"/>
              </w:rPr>
              <w:t xml:space="preserve">Archival / batch access</w:t>
            </w:r>
          </w:p>
        </w:tc>
        <w:tc>
          <w:tcPr>
            <w:tcW w:type="dxa" w:w="2520"/>
            <w:vAlign w:val="center"/>
          </w:tcPr>
          <w:p>
            <w:pPr>
              <w:spacing w:after="20"/>
              <w:jc w:val="left"/>
            </w:pPr>
            <w:r>
              <w:rPr>
                <w:rFonts w:ascii="Times New Roman" w:cs="Times New Roman" w:eastAsia="Times New Roman" w:hAnsi="Times New Roman"/>
                <w:sz w:val="16"/>
                <w:szCs w:val="16"/>
              </w:rPr>
              <w:t xml:space="preserve">Checkpoint and model-weight archival</w:t>
            </w:r>
          </w:p>
        </w:tc>
      </w:tr>
    </w:tbl>
    <w:p>
      <w:pPr>
        <w:spacing w:after="160" w:before="60"/>
        <w:jc w:val="center"/>
      </w:pPr>
      <w:r>
        <w:rPr>
          <w:rFonts w:ascii="Times New Roman" w:cs="Times New Roman" w:eastAsia="Times New Roman" w:hAnsi="Times New Roman"/>
          <w:b/>
          <w:bCs/>
          <w:sz w:val="16"/>
          <w:szCs w:val="16"/>
        </w:rPr>
        <w:t xml:space="preserve">TABLE III.  STORAGE OPTIONS EVALUATED FOR AI TRAINING WORKLOADS</w:t>
      </w:r>
    </w:p>
    <w:p>
      <w:pPr>
        <w:sectPr>
          <w:type w:val="continuous"/>
          <w:pgSz w:w="12240" w:h="15840" w:orient="portrait"/>
          <w:pgMar w:top="720" w:right="720" w:bottom="720" w:left="720" w:header="708" w:footer="708" w:gutter="0"/>
          <w:pgNumType/>
          <w:cols w:num="1"/>
          <w:docGrid w:linePitch="360"/>
        </w:sectPr>
      </w:pPr>
    </w:p>
    <w:p>
      <w:pPr>
        <w:spacing w:after="120" w:before="220"/>
        <w:jc w:val="center"/>
      </w:pPr>
      <w:r>
        <w:rPr>
          <w:rFonts w:ascii="Times New Roman" w:cs="Times New Roman" w:eastAsia="Times New Roman" w:hAnsi="Times New Roman"/>
          <w:b/>
          <w:bCs/>
          <w:sz w:val="19"/>
          <w:szCs w:val="19"/>
        </w:rPr>
        <w:t xml:space="preserve">VII. Physical Space and Rack Configuration</w:t>
      </w:r>
    </w:p>
    <w:p>
      <w:pPr>
        <w:spacing w:after="100" w:before="0" w:line="252"/>
        <w:jc w:val="both"/>
      </w:pPr>
      <w:r>
        <w:rPr>
          <w:rFonts w:ascii="Times New Roman" w:cs="Times New Roman" w:eastAsia="Times New Roman" w:hAnsi="Times New Roman"/>
          <w:sz w:val="18"/>
          <w:szCs w:val="18"/>
        </w:rPr>
        <w:t xml:space="preserve">Racks hosting GPU nodes must be reinforced for the additional weight of dense compute and cabling, and sized to the taller chassis common to 8-GPU servers; standard 42U enclosures may need to be substituted with taller or reinforced-floor variants. Rack layouts should reserve contiguous space for future expansion and hardware-refresh cycles, since GPU generations typically refresh on a two-to-three-year cadence and mixed-generation racks complicate power and cooling planning.</w:t>
      </w:r>
    </w:p>
    <w:p>
      <w:pPr>
        <w:spacing w:after="120" w:before="220"/>
        <w:jc w:val="center"/>
      </w:pPr>
      <w:r>
        <w:rPr>
          <w:rFonts w:ascii="Times New Roman" w:cs="Times New Roman" w:eastAsia="Times New Roman" w:hAnsi="Times New Roman"/>
          <w:b/>
          <w:bCs/>
          <w:sz w:val="19"/>
          <w:szCs w:val="19"/>
        </w:rPr>
        <w:t xml:space="preserve">VIII. Deployment and Validation</w:t>
      </w:r>
    </w:p>
    <w:p>
      <w:pPr>
        <w:spacing w:after="100" w:before="0" w:line="252"/>
        <w:jc w:val="both"/>
      </w:pPr>
      <w:r>
        <w:rPr>
          <w:rFonts w:ascii="Times New Roman" w:cs="Times New Roman" w:eastAsia="Times New Roman" w:hAnsi="Times New Roman"/>
          <w:sz w:val="18"/>
          <w:szCs w:val="18"/>
        </w:rPr>
        <w:t xml:space="preserve">Deployment proceeds incrementally rather than as a single cluster-wide rollout: a pilot deployment (a single GPU or small node group) is validated first, then progressively scaled to the full production cluster. Fig. 4 summarizes the deployment workflow used for this Azure Kubernetes Service (AKS) based cluster; the corresponding CLI commands and an example GPU pod specification are provided in Appendix B.</w:t>
      </w:r>
    </w:p>
    <w:p>
      <w:pPr>
        <w:spacing w:after="30" w:before="140"/>
        <w:jc w:val="center"/>
      </w:pPr>
      <w:r>
        <w:drawing>
          <wp:inline distT="0" distB="0" distL="0" distR="0">
            <wp:extent cx="26479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47950" cy="3705225"/>
                    </a:xfrm>
                    <a:prstGeom prst="rect">
                      <a:avLst/>
                    </a:prstGeom>
                  </pic:spPr>
                </pic:pic>
              </a:graphicData>
            </a:graphic>
          </wp:inline>
        </w:drawing>
      </w:r>
    </w:p>
    <w:p>
      <w:pPr>
        <w:spacing w:after="160"/>
        <w:jc w:val="center"/>
      </w:pPr>
      <w:r>
        <w:rPr>
          <w:rFonts w:ascii="Times New Roman" w:cs="Times New Roman" w:eastAsia="Times New Roman" w:hAnsi="Times New Roman"/>
          <w:i/>
          <w:iCs/>
          <w:sz w:val="16"/>
          <w:szCs w:val="16"/>
        </w:rPr>
        <w:t xml:space="preserve">Fig. 4. AKS-based GPU cluster deployment workflow, from cluster creation through GPU workload validation and monitoring.</w:t>
      </w:r>
    </w:p>
    <w:p>
      <w:pPr>
        <w:spacing w:after="100" w:before="0" w:line="252"/>
        <w:jc w:val="both"/>
      </w:pPr>
      <w:r>
        <w:rPr>
          <w:rFonts w:ascii="Times New Roman" w:cs="Times New Roman" w:eastAsia="Times New Roman" w:hAnsi="Times New Roman"/>
          <w:sz w:val="18"/>
          <w:szCs w:val="18"/>
        </w:rPr>
        <w:t xml:space="preserve">Validation combines Kubernetes-level checks (confirming that GPU nodes advertise the nvidia.com/gpu resource and that pods are scheduled onto tainted GPU node pools) with hardware- and communication-level checks using the NVIDIA Validation Suite and NCCL tests, which exercise the full InfiniBand fabric and NVLink interconnect before a node is accepted into production.</w:t>
      </w:r>
    </w:p>
    <w:p>
      <w:pPr>
        <w:spacing w:after="120" w:before="220"/>
        <w:jc w:val="center"/>
      </w:pPr>
      <w:r>
        <w:rPr>
          <w:rFonts w:ascii="Times New Roman" w:cs="Times New Roman" w:eastAsia="Times New Roman" w:hAnsi="Times New Roman"/>
          <w:b/>
          <w:bCs/>
          <w:sz w:val="19"/>
          <w:szCs w:val="19"/>
        </w:rPr>
        <w:t xml:space="preserve">IX. Monitoring and Optimization</w:t>
      </w:r>
    </w:p>
    <w:p>
      <w:pPr>
        <w:spacing w:after="100" w:before="0" w:line="252"/>
        <w:jc w:val="both"/>
      </w:pPr>
      <w:r>
        <w:rPr>
          <w:rFonts w:ascii="Times New Roman" w:cs="Times New Roman" w:eastAsia="Times New Roman" w:hAnsi="Times New Roman"/>
          <w:sz w:val="18"/>
          <w:szCs w:val="18"/>
        </w:rPr>
        <w:t xml:space="preserve">Once deployed, GPU nodes are continuously monitored for temperature, memory utilization, power draw, SM/Tensor Core occupancy, and workload distribution across the fleet, using NVIDIA DCGM as the collection layer and Prometheus/Grafana for aggregation, alerting, and visualization. Infrastructure changes are applied through infrastructure-as-code rather than manual configuration, so that node pools, taints, and networking configuration remain consistent and reproducible as the cluster scales or is redeployed in a new region.</w:t>
      </w:r>
    </w:p>
    <w:p>
      <w:pPr>
        <w:spacing w:after="120" w:before="220"/>
        <w:jc w:val="center"/>
      </w:pPr>
      <w:r>
        <w:rPr>
          <w:rFonts w:ascii="Times New Roman" w:cs="Times New Roman" w:eastAsia="Times New Roman" w:hAnsi="Times New Roman"/>
          <w:b/>
          <w:bCs/>
          <w:sz w:val="19"/>
          <w:szCs w:val="19"/>
        </w:rPr>
        <w:t xml:space="preserve">X. Budget and TCO Analysis</w:t>
      </w:r>
    </w:p>
    <w:p>
      <w:pPr>
        <w:spacing w:after="100" w:before="0" w:line="252"/>
        <w:jc w:val="both"/>
      </w:pPr>
      <w:r>
        <w:rPr>
          <w:rFonts w:ascii="Times New Roman" w:cs="Times New Roman" w:eastAsia="Times New Roman" w:hAnsi="Times New Roman"/>
          <w:sz w:val="18"/>
          <w:szCs w:val="18"/>
        </w:rPr>
        <w:t xml:space="preserve">Total cost of ownership for a GPU cluster extends well beyond the sticker price of the GPUs themselves; Table IV consolidates the principal sizing and cost drivers identified in Sections III–VII into a single specification summary.</w:t>
      </w:r>
    </w:p>
    <w:p>
      <w:pPr>
        <w:sectPr>
          <w:type w:val="continuous"/>
          <w:pgSz w:w="12240" w:h="15840" w:orient="portrait"/>
          <w:pgMar w:top="720" w:right="720" w:bottom="720" w:left="720" w:header="708" w:footer="708" w:gutter="0"/>
          <w:pgNumType/>
          <w:cols w:space="288" w:num="2"/>
          <w:docGrid w:linePitch="360"/>
        </w:sectPr>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1800"/>
        <w:gridCol w:w="3024"/>
        <w:gridCol w:w="4680"/>
      </w:tblGrid>
      <w:tr>
        <w:trPr>
          <w:tblHeader/>
        </w:trPr>
        <w:tc>
          <w:tcPr>
            <w:tcW w:type="dxa" w:w="1800"/>
            <w:shd w:fill="DDE4EF" w:val="clear"/>
            <w:vAlign w:val="center"/>
          </w:tcPr>
          <w:p>
            <w:pPr>
              <w:spacing w:after="20"/>
              <w:jc w:val="center"/>
            </w:pPr>
            <w:r>
              <w:rPr>
                <w:rFonts w:ascii="Times New Roman" w:cs="Times New Roman" w:eastAsia="Times New Roman" w:hAnsi="Times New Roman"/>
                <w:b/>
                <w:bCs/>
                <w:sz w:val="16"/>
                <w:szCs w:val="16"/>
              </w:rPr>
              <w:t xml:space="preserve">Requirement</w:t>
            </w:r>
          </w:p>
        </w:tc>
        <w:tc>
          <w:tcPr>
            <w:tcW w:type="dxa" w:w="3024"/>
            <w:shd w:fill="DDE4EF" w:val="clear"/>
            <w:vAlign w:val="center"/>
          </w:tcPr>
          <w:p>
            <w:pPr>
              <w:spacing w:after="20"/>
              <w:jc w:val="center"/>
            </w:pPr>
            <w:r>
              <w:rPr>
                <w:rFonts w:ascii="Times New Roman" w:cs="Times New Roman" w:eastAsia="Times New Roman" w:hAnsi="Times New Roman"/>
                <w:b/>
                <w:bCs/>
                <w:sz w:val="16"/>
                <w:szCs w:val="16"/>
              </w:rPr>
              <w:t xml:space="preserve">Typical Specification</w:t>
            </w:r>
          </w:p>
        </w:tc>
        <w:tc>
          <w:tcPr>
            <w:tcW w:type="dxa" w:w="4680"/>
            <w:shd w:fill="DDE4EF" w:val="clear"/>
            <w:vAlign w:val="center"/>
          </w:tcPr>
          <w:p>
            <w:pPr>
              <w:spacing w:after="20"/>
              <w:jc w:val="center"/>
            </w:pPr>
            <w:r>
              <w:rPr>
                <w:rFonts w:ascii="Times New Roman" w:cs="Times New Roman" w:eastAsia="Times New Roman" w:hAnsi="Times New Roman"/>
                <w:b/>
                <w:bCs/>
                <w:sz w:val="16"/>
                <w:szCs w:val="16"/>
              </w:rPr>
              <w:t xml:space="preserve">Notes</w:t>
            </w:r>
          </w:p>
        </w:tc>
      </w:tr>
      <w:tr>
        <w:tc>
          <w:tcPr>
            <w:tcW w:type="dxa" w:w="1800"/>
            <w:vAlign w:val="center"/>
          </w:tcPr>
          <w:p>
            <w:pPr>
              <w:spacing w:after="20"/>
              <w:jc w:val="left"/>
            </w:pPr>
            <w:r>
              <w:rPr>
                <w:rFonts w:ascii="Times New Roman" w:cs="Times New Roman" w:eastAsia="Times New Roman" w:hAnsi="Times New Roman"/>
                <w:sz w:val="16"/>
                <w:szCs w:val="16"/>
              </w:rPr>
              <w:t xml:space="preserve">Power per GPU</w:t>
            </w:r>
          </w:p>
        </w:tc>
        <w:tc>
          <w:tcPr>
            <w:tcW w:type="dxa" w:w="3024"/>
            <w:vAlign w:val="center"/>
          </w:tcPr>
          <w:p>
            <w:pPr>
              <w:spacing w:after="20"/>
              <w:jc w:val="left"/>
            </w:pPr>
            <w:r>
              <w:rPr>
                <w:rFonts w:ascii="Times New Roman" w:cs="Times New Roman" w:eastAsia="Times New Roman" w:hAnsi="Times New Roman"/>
                <w:sz w:val="16"/>
                <w:szCs w:val="16"/>
              </w:rPr>
              <w:t xml:space="preserve">350–700 W</w:t>
            </w:r>
          </w:p>
        </w:tc>
        <w:tc>
          <w:tcPr>
            <w:tcW w:type="dxa" w:w="4680"/>
            <w:vAlign w:val="center"/>
          </w:tcPr>
          <w:p>
            <w:pPr>
              <w:spacing w:after="20"/>
              <w:jc w:val="left"/>
            </w:pPr>
            <w:r>
              <w:rPr>
                <w:rFonts w:ascii="Times New Roman" w:cs="Times New Roman" w:eastAsia="Times New Roman" w:hAnsi="Times New Roman"/>
                <w:sz w:val="16"/>
                <w:szCs w:val="16"/>
              </w:rPr>
              <w:t xml:space="preserve">Higher for H100/H200-class parts</w:t>
            </w:r>
          </w:p>
        </w:tc>
      </w:tr>
      <w:tr>
        <w:tc>
          <w:tcPr>
            <w:tcW w:type="dxa" w:w="1800"/>
            <w:vAlign w:val="center"/>
          </w:tcPr>
          <w:p>
            <w:pPr>
              <w:spacing w:after="20"/>
              <w:jc w:val="left"/>
            </w:pPr>
            <w:r>
              <w:rPr>
                <w:rFonts w:ascii="Times New Roman" w:cs="Times New Roman" w:eastAsia="Times New Roman" w:hAnsi="Times New Roman"/>
                <w:sz w:val="16"/>
                <w:szCs w:val="16"/>
              </w:rPr>
              <w:t xml:space="preserve">Rack power</w:t>
            </w:r>
          </w:p>
        </w:tc>
        <w:tc>
          <w:tcPr>
            <w:tcW w:type="dxa" w:w="3024"/>
            <w:vAlign w:val="center"/>
          </w:tcPr>
          <w:p>
            <w:pPr>
              <w:spacing w:after="20"/>
              <w:jc w:val="left"/>
            </w:pPr>
            <w:r>
              <w:rPr>
                <w:rFonts w:ascii="Times New Roman" w:cs="Times New Roman" w:eastAsia="Times New Roman" w:hAnsi="Times New Roman"/>
                <w:sz w:val="16"/>
                <w:szCs w:val="16"/>
              </w:rPr>
              <w:t xml:space="preserve">30–40 kW</w:t>
            </w:r>
          </w:p>
        </w:tc>
        <w:tc>
          <w:tcPr>
            <w:tcW w:type="dxa" w:w="4680"/>
            <w:vAlign w:val="center"/>
          </w:tcPr>
          <w:p>
            <w:pPr>
              <w:spacing w:after="20"/>
              <w:jc w:val="left"/>
            </w:pPr>
            <w:r>
              <w:rPr>
                <w:rFonts w:ascii="Times New Roman" w:cs="Times New Roman" w:eastAsia="Times New Roman" w:hAnsi="Times New Roman"/>
                <w:sz w:val="16"/>
                <w:szCs w:val="16"/>
              </w:rPr>
              <w:t xml:space="preserve">Requires 208–240 V, 30–60 A circuits</w:t>
            </w:r>
          </w:p>
        </w:tc>
      </w:tr>
      <w:tr>
        <w:tc>
          <w:tcPr>
            <w:tcW w:type="dxa" w:w="1800"/>
            <w:vAlign w:val="center"/>
          </w:tcPr>
          <w:p>
            <w:pPr>
              <w:spacing w:after="20"/>
              <w:jc w:val="left"/>
            </w:pPr>
            <w:r>
              <w:rPr>
                <w:rFonts w:ascii="Times New Roman" w:cs="Times New Roman" w:eastAsia="Times New Roman" w:hAnsi="Times New Roman"/>
                <w:sz w:val="16"/>
                <w:szCs w:val="16"/>
              </w:rPr>
              <w:t xml:space="preserve">Cooling</w:t>
            </w:r>
          </w:p>
        </w:tc>
        <w:tc>
          <w:tcPr>
            <w:tcW w:type="dxa" w:w="3024"/>
            <w:vAlign w:val="center"/>
          </w:tcPr>
          <w:p>
            <w:pPr>
              <w:spacing w:after="20"/>
              <w:jc w:val="left"/>
            </w:pPr>
            <w:r>
              <w:rPr>
                <w:rFonts w:ascii="Times New Roman" w:cs="Times New Roman" w:eastAsia="Times New Roman" w:hAnsi="Times New Roman"/>
                <w:sz w:val="16"/>
                <w:szCs w:val="16"/>
              </w:rPr>
              <w:t xml:space="preserve">Liquid or immersion preferred</w:t>
            </w:r>
          </w:p>
        </w:tc>
        <w:tc>
          <w:tcPr>
            <w:tcW w:type="dxa" w:w="4680"/>
            <w:vAlign w:val="center"/>
          </w:tcPr>
          <w:p>
            <w:pPr>
              <w:spacing w:after="20"/>
              <w:jc w:val="left"/>
            </w:pPr>
            <w:r>
              <w:rPr>
                <w:rFonts w:ascii="Times New Roman" w:cs="Times New Roman" w:eastAsia="Times New Roman" w:hAnsi="Times New Roman"/>
                <w:sz w:val="16"/>
                <w:szCs w:val="16"/>
              </w:rPr>
              <w:t xml:space="preserve">Airflow optimization is critical even where air cooling is retained</w:t>
            </w:r>
          </w:p>
        </w:tc>
      </w:tr>
      <w:tr>
        <w:tc>
          <w:tcPr>
            <w:tcW w:type="dxa" w:w="1800"/>
            <w:vAlign w:val="center"/>
          </w:tcPr>
          <w:p>
            <w:pPr>
              <w:spacing w:after="20"/>
              <w:jc w:val="left"/>
            </w:pPr>
            <w:r>
              <w:rPr>
                <w:rFonts w:ascii="Times New Roman" w:cs="Times New Roman" w:eastAsia="Times New Roman" w:hAnsi="Times New Roman"/>
                <w:sz w:val="16"/>
                <w:szCs w:val="16"/>
              </w:rPr>
              <w:t xml:space="preserve">Networking</w:t>
            </w:r>
          </w:p>
        </w:tc>
        <w:tc>
          <w:tcPr>
            <w:tcW w:type="dxa" w:w="3024"/>
            <w:vAlign w:val="center"/>
          </w:tcPr>
          <w:p>
            <w:pPr>
              <w:spacing w:after="20"/>
              <w:jc w:val="left"/>
            </w:pPr>
            <w:r>
              <w:rPr>
                <w:rFonts w:ascii="Times New Roman" w:cs="Times New Roman" w:eastAsia="Times New Roman" w:hAnsi="Times New Roman"/>
                <w:sz w:val="16"/>
                <w:szCs w:val="16"/>
              </w:rPr>
              <w:t xml:space="preserve">100 Gb/s+ with RDMA</w:t>
            </w:r>
          </w:p>
        </w:tc>
        <w:tc>
          <w:tcPr>
            <w:tcW w:type="dxa" w:w="4680"/>
            <w:vAlign w:val="center"/>
          </w:tcPr>
          <w:p>
            <w:pPr>
              <w:spacing w:after="20"/>
              <w:jc w:val="left"/>
            </w:pPr>
            <w:r>
              <w:rPr>
                <w:rFonts w:ascii="Times New Roman" w:cs="Times New Roman" w:eastAsia="Times New Roman" w:hAnsi="Times New Roman"/>
                <w:sz w:val="16"/>
                <w:szCs w:val="16"/>
              </w:rPr>
              <w:t xml:space="preserve">Required for distributed training</w:t>
            </w:r>
          </w:p>
        </w:tc>
      </w:tr>
      <w:tr>
        <w:tc>
          <w:tcPr>
            <w:tcW w:type="dxa" w:w="1800"/>
            <w:vAlign w:val="center"/>
          </w:tcPr>
          <w:p>
            <w:pPr>
              <w:spacing w:after="20"/>
              <w:jc w:val="left"/>
            </w:pPr>
            <w:r>
              <w:rPr>
                <w:rFonts w:ascii="Times New Roman" w:cs="Times New Roman" w:eastAsia="Times New Roman" w:hAnsi="Times New Roman"/>
                <w:sz w:val="16"/>
                <w:szCs w:val="16"/>
              </w:rPr>
              <w:t xml:space="preserve">Storage</w:t>
            </w:r>
          </w:p>
        </w:tc>
        <w:tc>
          <w:tcPr>
            <w:tcW w:type="dxa" w:w="3024"/>
            <w:vAlign w:val="center"/>
          </w:tcPr>
          <w:p>
            <w:pPr>
              <w:spacing w:after="20"/>
              <w:jc w:val="left"/>
            </w:pPr>
            <w:r>
              <w:rPr>
                <w:rFonts w:ascii="Times New Roman" w:cs="Times New Roman" w:eastAsia="Times New Roman" w:hAnsi="Times New Roman"/>
                <w:sz w:val="16"/>
                <w:szCs w:val="16"/>
              </w:rPr>
              <w:t xml:space="preserve">10+ GB/s parallel throughput, local NVMe</w:t>
            </w:r>
          </w:p>
        </w:tc>
        <w:tc>
          <w:tcPr>
            <w:tcW w:type="dxa" w:w="4680"/>
            <w:vAlign w:val="center"/>
          </w:tcPr>
          <w:p>
            <w:pPr>
              <w:spacing w:after="20"/>
              <w:jc w:val="left"/>
            </w:pPr>
            <w:r>
              <w:rPr>
                <w:rFonts w:ascii="Times New Roman" w:cs="Times New Roman" w:eastAsia="Times New Roman" w:hAnsi="Times New Roman"/>
                <w:sz w:val="16"/>
                <w:szCs w:val="16"/>
              </w:rPr>
              <w:t xml:space="preserve">For large datasets and checkpoint I/O</w:t>
            </w:r>
          </w:p>
        </w:tc>
      </w:tr>
      <w:tr>
        <w:tc>
          <w:tcPr>
            <w:tcW w:type="dxa" w:w="1800"/>
            <w:vAlign w:val="center"/>
          </w:tcPr>
          <w:p>
            <w:pPr>
              <w:spacing w:after="20"/>
              <w:jc w:val="left"/>
            </w:pPr>
            <w:r>
              <w:rPr>
                <w:rFonts w:ascii="Times New Roman" w:cs="Times New Roman" w:eastAsia="Times New Roman" w:hAnsi="Times New Roman"/>
                <w:sz w:val="16"/>
                <w:szCs w:val="16"/>
              </w:rPr>
              <w:t xml:space="preserve">Physical space</w:t>
            </w:r>
          </w:p>
        </w:tc>
        <w:tc>
          <w:tcPr>
            <w:tcW w:type="dxa" w:w="3024"/>
            <w:vAlign w:val="center"/>
          </w:tcPr>
          <w:p>
            <w:pPr>
              <w:spacing w:after="20"/>
              <w:jc w:val="left"/>
            </w:pPr>
            <w:r>
              <w:rPr>
                <w:rFonts w:ascii="Times New Roman" w:cs="Times New Roman" w:eastAsia="Times New Roman" w:hAnsi="Times New Roman"/>
                <w:sz w:val="16"/>
                <w:szCs w:val="16"/>
              </w:rPr>
              <w:t xml:space="preserve">Reinforced, taller racks</w:t>
            </w:r>
          </w:p>
        </w:tc>
        <w:tc>
          <w:tcPr>
            <w:tcW w:type="dxa" w:w="4680"/>
            <w:vAlign w:val="center"/>
          </w:tcPr>
          <w:p>
            <w:pPr>
              <w:spacing w:after="20"/>
              <w:jc w:val="left"/>
            </w:pPr>
            <w:r>
              <w:rPr>
                <w:rFonts w:ascii="Times New Roman" w:cs="Times New Roman" w:eastAsia="Times New Roman" w:hAnsi="Times New Roman"/>
                <w:sz w:val="16"/>
                <w:szCs w:val="16"/>
              </w:rPr>
              <w:t xml:space="preserve">High-density 8-GPU systems need custom rack design</w:t>
            </w:r>
          </w:p>
        </w:tc>
      </w:tr>
      <w:tr>
        <w:tc>
          <w:tcPr>
            <w:tcW w:type="dxa" w:w="1800"/>
            <w:vAlign w:val="center"/>
          </w:tcPr>
          <w:p>
            <w:pPr>
              <w:spacing w:after="20"/>
              <w:jc w:val="left"/>
            </w:pPr>
            <w:r>
              <w:rPr>
                <w:rFonts w:ascii="Times New Roman" w:cs="Times New Roman" w:eastAsia="Times New Roman" w:hAnsi="Times New Roman"/>
                <w:sz w:val="16"/>
                <w:szCs w:val="16"/>
              </w:rPr>
              <w:t xml:space="preserve">Deployment model</w:t>
            </w:r>
          </w:p>
        </w:tc>
        <w:tc>
          <w:tcPr>
            <w:tcW w:type="dxa" w:w="3024"/>
            <w:vAlign w:val="center"/>
          </w:tcPr>
          <w:p>
            <w:pPr>
              <w:spacing w:after="20"/>
              <w:jc w:val="left"/>
            </w:pPr>
            <w:r>
              <w:rPr>
                <w:rFonts w:ascii="Times New Roman" w:cs="Times New Roman" w:eastAsia="Times New Roman" w:hAnsi="Times New Roman"/>
                <w:sz w:val="16"/>
                <w:szCs w:val="16"/>
              </w:rPr>
              <w:t xml:space="preserve">Cloud or on-premises</w:t>
            </w:r>
          </w:p>
        </w:tc>
        <w:tc>
          <w:tcPr>
            <w:tcW w:type="dxa" w:w="4680"/>
            <w:vAlign w:val="center"/>
          </w:tcPr>
          <w:p>
            <w:pPr>
              <w:spacing w:after="20"/>
              <w:jc w:val="left"/>
            </w:pPr>
            <w:r>
              <w:rPr>
                <w:rFonts w:ascii="Times New Roman" w:cs="Times New Roman" w:eastAsia="Times New Roman" w:hAnsi="Times New Roman"/>
                <w:sz w:val="16"/>
                <w:szCs w:val="16"/>
              </w:rPr>
              <w:t xml:space="preserve">Cloud favors flexibility; on-premises favors long-run cost control</w:t>
            </w:r>
          </w:p>
        </w:tc>
      </w:tr>
    </w:tbl>
    <w:p>
      <w:pPr>
        <w:spacing w:after="160" w:before="60"/>
        <w:jc w:val="center"/>
      </w:pPr>
      <w:r>
        <w:rPr>
          <w:rFonts w:ascii="Times New Roman" w:cs="Times New Roman" w:eastAsia="Times New Roman" w:hAnsi="Times New Roman"/>
          <w:b/>
          <w:bCs/>
          <w:sz w:val="16"/>
          <w:szCs w:val="16"/>
        </w:rPr>
        <w:t xml:space="preserve">TABLE IV.  GPU INFRASTRUCTURE REQUIREMENT AND COST-DRIVER SUMMARY</w:t>
      </w:r>
    </w:p>
    <w:p>
      <w:pPr>
        <w:sectPr>
          <w:type w:val="continuous"/>
          <w:pgSz w:w="12240" w:h="15840" w:orient="portrait"/>
          <w:pgMar w:top="720" w:right="720" w:bottom="720" w:left="720" w:header="708" w:footer="708" w:gutter="0"/>
          <w:pgNumType/>
          <w:cols w:num="1"/>
          <w:docGrid w:linePitch="360"/>
        </w:sectPr>
      </w:pPr>
    </w:p>
    <w:p>
      <w:pPr>
        <w:spacing w:after="160" w:before="0" w:line="252"/>
        <w:jc w:val="both"/>
      </w:pPr>
      <w:r>
        <w:rPr>
          <w:rFonts w:ascii="Times New Roman" w:cs="Times New Roman" w:eastAsia="Times New Roman" w:hAnsi="Times New Roman"/>
          <w:sz w:val="18"/>
          <w:szCs w:val="18"/>
        </w:rPr>
        <w:t xml:space="preserve">Cloud deployment (as used in this report's Azure ND H100 v5 reference architecture) trades a higher marginal hourly rate for elimination of capital expenditure, facility build-out time, and hardware-refresh risk; on-premises deployment can lower long-run per-GPU-hour cost for sustained, predictable utilization but requires the power, cooling, and physical-space investments summarized above and in Sections IV and VII. The choice is workload- and organization-dependent and should be revisited whenever sustained utilization or model scale changes materially.</w:t>
      </w:r>
    </w:p>
    <w:p>
      <w:pPr>
        <w:spacing w:after="120" w:before="220"/>
        <w:jc w:val="center"/>
      </w:pPr>
      <w:r>
        <w:rPr>
          <w:rFonts w:ascii="Times New Roman" w:cs="Times New Roman" w:eastAsia="Times New Roman" w:hAnsi="Times New Roman"/>
          <w:b/>
          <w:bCs/>
          <w:sz w:val="19"/>
          <w:szCs w:val="19"/>
        </w:rPr>
        <w:t xml:space="preserve">XI. Summary and Recommendations</w:t>
      </w:r>
    </w:p>
    <w:p>
      <w:pPr>
        <w:spacing w:after="100" w:before="0" w:line="252"/>
        <w:jc w:val="both"/>
      </w:pPr>
      <w:r>
        <w:rPr>
          <w:rFonts w:ascii="Times New Roman" w:cs="Times New Roman" w:eastAsia="Times New Roman" w:hAnsi="Times New Roman"/>
          <w:sz w:val="18"/>
          <w:szCs w:val="18"/>
        </w:rPr>
        <w:t xml:space="preserve">This report has presented a cross-layer requirement-analysis approach for a GPU-accelerated HPC cluster: workload and precision assessment drive hardware selection; hardware selection drives power, cooling, and rack design; and the networking and storage architecture are sized to keep the selected GPUs fed with data and gradients rather than idle. The following recommendations follow directly from this analysis:</w:t>
      </w:r>
    </w:p>
    <w:p>
      <w:pPr>
        <w:spacing w:after="60" w:line="252"/>
        <w:ind w:left="259" w:hanging="201"/>
        <w:jc w:val="both"/>
      </w:pPr>
      <w:r>
        <w:rPr>
          <w:rFonts w:ascii="Times New Roman" w:cs="Times New Roman" w:eastAsia="Times New Roman" w:hAnsi="Times New Roman"/>
          <w:sz w:val="18"/>
          <w:szCs w:val="18"/>
        </w:rPr>
        <w:t xml:space="preserve">•  Select H100 (or H200 where budget allows) for large-scale LLM training, reserving A100 for balanced mixed AI/HPC workloads and L40S/L4 for rendering and edge inference respectively.</w:t>
      </w:r>
    </w:p>
    <w:p>
      <w:pPr>
        <w:spacing w:after="60" w:line="252"/>
        <w:ind w:left="259" w:hanging="201"/>
        <w:jc w:val="both"/>
      </w:pPr>
      <w:r>
        <w:rPr>
          <w:rFonts w:ascii="Times New Roman" w:cs="Times New Roman" w:eastAsia="Times New Roman" w:hAnsi="Times New Roman"/>
          <w:sz w:val="18"/>
          <w:szCs w:val="18"/>
        </w:rPr>
        <w:t xml:space="preserve">•  Treat InfiniBand and NVLink topology, not just raw GPU count, as first-class sizing parameters — GPU-to-NIC and GPU-to-GPU affinity materially affect achieved (as opposed to theoretical) throughput.</w:t>
      </w:r>
    </w:p>
    <w:p>
      <w:pPr>
        <w:spacing w:after="60" w:line="252"/>
        <w:ind w:left="259" w:hanging="201"/>
        <w:jc w:val="both"/>
      </w:pPr>
      <w:r>
        <w:rPr>
          <w:rFonts w:ascii="Times New Roman" w:cs="Times New Roman" w:eastAsia="Times New Roman" w:hAnsi="Times New Roman"/>
          <w:sz w:val="18"/>
          <w:szCs w:val="18"/>
        </w:rPr>
        <w:t xml:space="preserve">•  Size power and cooling for 30–40 kW per rack from the outset; retrofitting liquid cooling after deployment is far more disruptive than planning for it up front.</w:t>
      </w:r>
    </w:p>
    <w:p>
      <w:pPr>
        <w:spacing w:after="60" w:line="252"/>
        <w:ind w:left="259" w:hanging="201"/>
        <w:jc w:val="both"/>
      </w:pPr>
      <w:r>
        <w:rPr>
          <w:rFonts w:ascii="Times New Roman" w:cs="Times New Roman" w:eastAsia="Times New Roman" w:hAnsi="Times New Roman"/>
          <w:sz w:val="18"/>
          <w:szCs w:val="18"/>
        </w:rPr>
        <w:t xml:space="preserve">•  Validate every node with NCCL and InfiniBand fabric tests before production acceptance, and re-validate after any firmware, driver, or topology change.</w:t>
      </w:r>
    </w:p>
    <w:p>
      <w:pPr>
        <w:spacing w:after="60" w:line="252"/>
        <w:ind w:left="259" w:hanging="201"/>
        <w:jc w:val="both"/>
      </w:pPr>
      <w:r>
        <w:rPr>
          <w:rFonts w:ascii="Times New Roman" w:cs="Times New Roman" w:eastAsia="Times New Roman" w:hAnsi="Times New Roman"/>
          <w:sz w:val="18"/>
          <w:szCs w:val="18"/>
        </w:rPr>
        <w:t xml:space="preserve">•  Recompute cluster-sizing calculations independently rather than reusing vendor rules of thumb verbatim — Appendix A shows how a single unit error can overstate required node count by more than an order of magnitude.</w:t>
      </w:r>
    </w:p>
    <w:p>
      <w:pPr>
        <w:sectPr>
          <w:type w:val="continuous"/>
          <w:pgSz w:w="12240" w:h="15840" w:orient="portrait"/>
          <w:pgMar w:top="720" w:right="720" w:bottom="720" w:left="720" w:header="708" w:footer="708" w:gutter="0"/>
          <w:pgNumType/>
          <w:cols w:space="288" w:num="2"/>
          <w:docGrid w:linePitch="360"/>
        </w:sectPr>
      </w:pPr>
    </w:p>
    <w:p>
      <w:pPr>
        <w:spacing w:after="120" w:before="220"/>
        <w:jc w:val="center"/>
      </w:pPr>
      <w:r>
        <w:rPr>
          <w:rFonts w:ascii="Times New Roman" w:cs="Times New Roman" w:eastAsia="Times New Roman" w:hAnsi="Times New Roman"/>
          <w:b/>
          <w:bCs/>
          <w:sz w:val="19"/>
          <w:szCs w:val="19"/>
        </w:rPr>
        <w:t xml:space="preserve">Appendix A. Compute: GPU Requirement Analysis</w:t>
      </w:r>
    </w:p>
    <w:p>
      <w:pPr>
        <w:spacing w:after="100" w:before="0" w:line="252"/>
        <w:jc w:val="both"/>
      </w:pPr>
      <w:r>
        <w:rPr>
          <w:rFonts w:ascii="Times New Roman" w:cs="Times New Roman" w:eastAsia="Times New Roman" w:hAnsi="Times New Roman"/>
          <w:sz w:val="18"/>
          <w:szCs w:val="18"/>
        </w:rPr>
        <w:t xml:space="preserve">This appendix derives the FLOPs-based node-sizing methodology summarized in Section III-B and re-checks two calculations from the original planning material against published GPU specifications.</w:t>
      </w:r>
    </w:p>
    <w:p>
      <w:pPr>
        <w:spacing w:after="80" w:before="140"/>
        <w:jc w:val="left"/>
      </w:pPr>
      <w:r>
        <w:rPr>
          <w:rFonts w:ascii="Times New Roman" w:cs="Times New Roman" w:eastAsia="Times New Roman" w:hAnsi="Times New Roman"/>
          <w:b/>
          <w:bCs/>
          <w:i/>
          <w:iCs/>
          <w:sz w:val="18"/>
          <w:szCs w:val="18"/>
        </w:rPr>
        <w:t xml:space="preserve">A.1 GPU Peak FLOPs and a Corrected Formula</w:t>
      </w:r>
    </w:p>
    <w:p>
      <w:pPr>
        <w:spacing w:after="100" w:before="0" w:line="252"/>
        <w:jc w:val="both"/>
      </w:pPr>
      <w:r>
        <w:rPr>
          <w:rFonts w:ascii="Times New Roman" w:cs="Times New Roman" w:eastAsia="Times New Roman" w:hAnsi="Times New Roman"/>
          <w:sz w:val="18"/>
          <w:szCs w:val="18"/>
        </w:rPr>
        <w:t xml:space="preserve">Theoretical peak FLOPs for a GPU is commonly approximated as:</w:t>
      </w:r>
    </w:p>
    <w:p>
      <w:pPr>
        <w:spacing w:after="100" w:before="0" w:line="252"/>
        <w:jc w:val="center"/>
      </w:pPr>
      <w:r>
        <w:rPr>
          <w:rFonts w:ascii="Times New Roman" w:cs="Times New Roman" w:eastAsia="Times New Roman" w:hAnsi="Times New Roman"/>
          <w:sz w:val="18"/>
          <w:szCs w:val="18"/>
        </w:rPr>
        <w:t xml:space="preserve">Peak FLOPs = (Number of Cores) × (FLOPs per clock per core) × (Clock Speed).</w:t>
      </w:r>
    </w:p>
    <w:p>
      <w:pPr>
        <w:spacing w:after="100" w:before="0" w:line="252"/>
        <w:jc w:val="both"/>
      </w:pPr>
      <w:r>
        <w:rPr>
          <w:rFonts w:ascii="Times New Roman" w:cs="Times New Roman" w:eastAsia="Times New Roman" w:hAnsi="Times New Roman"/>
          <w:sz w:val="18"/>
          <w:szCs w:val="18"/>
        </w:rPr>
        <w:t xml:space="preserve">For an H100 with 132 streaming multiprocessors (SMs) and 128 FP32 cores per SM (4 sub-partitions × 32 ALUs), the core count is 16,896. Each FP32 core executes one fused multiply-add (FMA) per clock, which counts as two FLOPs, so the FLOPs-per-clock-per-core term is 2, not 1. Using the GPU's boost clock (≈ 1.98 GHz):</w:t>
      </w:r>
    </w:p>
    <w:p>
      <w:pPr>
        <w:spacing w:after="100" w:before="0" w:line="252"/>
        <w:jc w:val="center"/>
      </w:pPr>
      <w:r>
        <w:rPr>
          <w:rFonts w:ascii="Times New Roman" w:cs="Times New Roman" w:eastAsia="Times New Roman" w:hAnsi="Times New Roman"/>
          <w:sz w:val="18"/>
          <w:szCs w:val="18"/>
        </w:rPr>
        <w:t xml:space="preserve">16,896 cores × 2 FLOPs/FMA × 1.98 GHz ≈ 66.9 TFLOPS (FP32, non-Tensor).</w:t>
      </w:r>
    </w:p>
    <w:p>
      <w:pPr>
        <w:pBdr>
          <w:top w:val="single" w:color="C99A4B" w:sz="4"/>
          <w:bottom w:val="single" w:color="C99A4B" w:sz="4"/>
          <w:left w:val="single" w:color="C99A4B" w:sz="4"/>
          <w:right w:val="single" w:color="C99A4B" w:sz="4"/>
        </w:pBdr>
        <w:shd w:fill="FBF0E4" w:val="clear"/>
        <w:spacing w:after="120" w:before="100" w:line="252"/>
        <w:jc w:val="both"/>
      </w:pPr>
      <w:r>
        <w:rPr>
          <w:rFonts w:ascii="Times New Roman" w:cs="Times New Roman" w:eastAsia="Times New Roman" w:hAnsi="Times New Roman"/>
          <w:b/>
          <w:bCs/>
          <w:sz w:val="18"/>
          <w:szCs w:val="18"/>
        </w:rPr>
        <w:t xml:space="preserve">Correction:  </w:t>
      </w:r>
      <w:r>
        <w:rPr>
          <w:rFonts w:ascii="Times New Roman" w:cs="Times New Roman" w:eastAsia="Times New Roman" w:hAnsi="Times New Roman"/>
          <w:i/>
          <w:iCs/>
          <w:sz w:val="18"/>
          <w:szCs w:val="18"/>
        </w:rPr>
        <w:t xml:space="preserve"> the commonly circulated formula “132 × 4 × 32 × 1.59 GHz = 26.9 TFLOPS” omits the ×2 FMA factor and uses the base rather than boost clock, understating throughput by roughly half. Including the FMA factor and boost clock reproduces the figure of approximately 66 TFLOPS commonly published for H100 FP32 CUDA-core throughput, which is the value used elsewhere in this report.</w:t>
      </w:r>
    </w:p>
    <w:p>
      <w:pPr>
        <w:spacing w:after="100" w:before="0" w:line="252"/>
        <w:jc w:val="both"/>
      </w:pPr>
      <w:r>
        <w:rPr>
          <w:rFonts w:ascii="Times New Roman" w:cs="Times New Roman" w:eastAsia="Times New Roman" w:hAnsi="Times New Roman"/>
          <w:sz w:val="18"/>
          <w:szCs w:val="18"/>
        </w:rPr>
        <w:t xml:space="preserve">H100 Tensor Cores additionally provide approximately 990 TFLOPS of dense BF16/FP16 throughput (roughly double with structured sparsity), which is the figure relevant to Tensor-Core-accelerated training and is consistent with the vendor-published specification used in Table I.</w:t>
      </w:r>
    </w:p>
    <w:p>
      <w:pPr>
        <w:spacing w:after="80" w:before="140"/>
        <w:jc w:val="left"/>
      </w:pPr>
      <w:r>
        <w:rPr>
          <w:rFonts w:ascii="Times New Roman" w:cs="Times New Roman" w:eastAsia="Times New Roman" w:hAnsi="Times New Roman"/>
          <w:b/>
          <w:bCs/>
          <w:i/>
          <w:iCs/>
          <w:sz w:val="18"/>
          <w:szCs w:val="18"/>
        </w:rPr>
        <w:t xml:space="preserve">A.2 GPU Count from a Fixed Workload FLOPs Target</w:t>
      </w:r>
    </w:p>
    <w:p>
      <w:pPr>
        <w:spacing w:after="100" w:before="0" w:line="252"/>
        <w:jc w:val="both"/>
      </w:pPr>
      <w:r>
        <w:rPr>
          <w:rFonts w:ascii="Times New Roman" w:cs="Times New Roman" w:eastAsia="Times New Roman" w:hAnsi="Times New Roman"/>
          <w:sz w:val="18"/>
          <w:szCs w:val="18"/>
        </w:rPr>
        <w:t xml:space="preserve">Given a workload's required sustained FLOPs/s, the minimum GPU count follows directly from dividing by a single GPU's sustained FLOPs/s, and is then inflated by the inverse of the expected utilization fraction, since no distributed training workload sustains 100% of peak throughput in practice (Table V).</w:t>
      </w:r>
    </w:p>
    <w:p>
      <w:pPr>
        <w:sectPr>
          <w:type w:val="continuous"/>
          <w:pgSz w:w="12240" w:h="15840" w:orient="portrait"/>
          <w:pgMar w:top="720" w:right="720" w:bottom="720" w:left="720" w:header="708" w:footer="708" w:gutter="0"/>
          <w:pgNumType/>
          <w:cols w:space="288" w:num="2"/>
          <w:docGrid w:linePitch="360"/>
        </w:sectPr>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448"/>
        <w:gridCol w:w="1584"/>
        <w:gridCol w:w="1944"/>
        <w:gridCol w:w="1656"/>
        <w:gridCol w:w="1872"/>
      </w:tblGrid>
      <w:tr>
        <w:trPr>
          <w:tblHeader/>
        </w:trPr>
        <w:tc>
          <w:tcPr>
            <w:tcW w:type="dxa" w:w="2448"/>
            <w:shd w:fill="DDE4EF" w:val="clear"/>
            <w:vAlign w:val="center"/>
          </w:tcPr>
          <w:p>
            <w:pPr>
              <w:spacing w:after="20"/>
              <w:jc w:val="center"/>
            </w:pPr>
            <w:r>
              <w:rPr>
                <w:rFonts w:ascii="Times New Roman" w:cs="Times New Roman" w:eastAsia="Times New Roman" w:hAnsi="Times New Roman"/>
                <w:b/>
                <w:bCs/>
                <w:sz w:val="16"/>
                <w:szCs w:val="16"/>
              </w:rPr>
              <w:t xml:space="preserve">Workload (FLOPs/s)</w:t>
            </w:r>
          </w:p>
        </w:tc>
        <w:tc>
          <w:tcPr>
            <w:tcW w:type="dxa" w:w="1584"/>
            <w:shd w:fill="DDE4EF" w:val="clear"/>
            <w:vAlign w:val="center"/>
          </w:tcPr>
          <w:p>
            <w:pPr>
              <w:spacing w:after="20"/>
              <w:jc w:val="center"/>
            </w:pPr>
            <w:r>
              <w:rPr>
                <w:rFonts w:ascii="Times New Roman" w:cs="Times New Roman" w:eastAsia="Times New Roman" w:hAnsi="Times New Roman"/>
                <w:b/>
                <w:bCs/>
                <w:sz w:val="16"/>
                <w:szCs w:val="16"/>
              </w:rPr>
              <w:t xml:space="preserve">GPU Model</w:t>
            </w:r>
          </w:p>
        </w:tc>
        <w:tc>
          <w:tcPr>
            <w:tcW w:type="dxa" w:w="1944"/>
            <w:shd w:fill="DDE4EF" w:val="clear"/>
            <w:vAlign w:val="center"/>
          </w:tcPr>
          <w:p>
            <w:pPr>
              <w:spacing w:after="20"/>
              <w:jc w:val="center"/>
            </w:pPr>
            <w:r>
              <w:rPr>
                <w:rFonts w:ascii="Times New Roman" w:cs="Times New Roman" w:eastAsia="Times New Roman" w:hAnsi="Times New Roman"/>
                <w:b/>
                <w:bCs/>
                <w:sz w:val="16"/>
                <w:szCs w:val="16"/>
              </w:rPr>
              <w:t xml:space="preserve">Peak FLOPs/s</w:t>
            </w:r>
          </w:p>
        </w:tc>
        <w:tc>
          <w:tcPr>
            <w:tcW w:type="dxa" w:w="1656"/>
            <w:shd w:fill="DDE4EF" w:val="clear"/>
            <w:vAlign w:val="center"/>
          </w:tcPr>
          <w:p>
            <w:pPr>
              <w:spacing w:after="20"/>
              <w:jc w:val="center"/>
            </w:pPr>
            <w:r>
              <w:rPr>
                <w:rFonts w:ascii="Times New Roman" w:cs="Times New Roman" w:eastAsia="Times New Roman" w:hAnsi="Times New Roman"/>
                <w:b/>
                <w:bCs/>
                <w:sz w:val="16"/>
                <w:szCs w:val="16"/>
              </w:rPr>
              <w:t xml:space="preserve">GPUs (ideal)</w:t>
            </w:r>
          </w:p>
        </w:tc>
        <w:tc>
          <w:tcPr>
            <w:tcW w:type="dxa" w:w="1872"/>
            <w:shd w:fill="DDE4EF" w:val="clear"/>
            <w:vAlign w:val="center"/>
          </w:tcPr>
          <w:p>
            <w:pPr>
              <w:spacing w:after="20"/>
              <w:jc w:val="center"/>
            </w:pPr>
            <w:r>
              <w:rPr>
                <w:rFonts w:ascii="Times New Roman" w:cs="Times New Roman" w:eastAsia="Times New Roman" w:hAnsi="Times New Roman"/>
                <w:b/>
                <w:bCs/>
                <w:sz w:val="16"/>
                <w:szCs w:val="16"/>
              </w:rPr>
              <w:t xml:space="preserve">GPUs (50% util.)</w:t>
            </w:r>
          </w:p>
        </w:tc>
      </w:tr>
      <w:tr>
        <w:tc>
          <w:tcPr>
            <w:tcW w:type="dxa" w:w="2448"/>
            <w:vAlign w:val="center"/>
          </w:tcPr>
          <w:p>
            <w:pPr>
              <w:spacing w:after="20"/>
              <w:jc w:val="left"/>
            </w:pPr>
            <w:r>
              <w:rPr>
                <w:rFonts w:ascii="Times New Roman" w:cs="Times New Roman" w:eastAsia="Times New Roman" w:hAnsi="Times New Roman"/>
                <w:sz w:val="16"/>
                <w:szCs w:val="16"/>
              </w:rPr>
              <w:t xml:space="preserve">1000 TFLOPS/s</w:t>
            </w:r>
          </w:p>
        </w:tc>
        <w:tc>
          <w:tcPr>
            <w:tcW w:type="dxa" w:w="1584"/>
            <w:vAlign w:val="center"/>
          </w:tcPr>
          <w:p>
            <w:pPr>
              <w:spacing w:after="20"/>
              <w:jc w:val="left"/>
            </w:pPr>
            <w:r>
              <w:rPr>
                <w:rFonts w:ascii="Times New Roman" w:cs="Times New Roman" w:eastAsia="Times New Roman" w:hAnsi="Times New Roman"/>
                <w:sz w:val="16"/>
                <w:szCs w:val="16"/>
              </w:rPr>
              <w:t xml:space="preserve">H100</w:t>
            </w:r>
          </w:p>
        </w:tc>
        <w:tc>
          <w:tcPr>
            <w:tcW w:type="dxa" w:w="1944"/>
            <w:vAlign w:val="center"/>
          </w:tcPr>
          <w:p>
            <w:pPr>
              <w:spacing w:after="20"/>
              <w:jc w:val="left"/>
            </w:pPr>
            <w:r>
              <w:rPr>
                <w:rFonts w:ascii="Times New Roman" w:cs="Times New Roman" w:eastAsia="Times New Roman" w:hAnsi="Times New Roman"/>
                <w:sz w:val="16"/>
                <w:szCs w:val="16"/>
              </w:rPr>
              <w:t xml:space="preserve">100 TFLOPS/s*</w:t>
            </w:r>
          </w:p>
        </w:tc>
        <w:tc>
          <w:tcPr>
            <w:tcW w:type="dxa" w:w="1656"/>
            <w:vAlign w:val="center"/>
          </w:tcPr>
          <w:p>
            <w:pPr>
              <w:spacing w:after="20"/>
              <w:jc w:val="left"/>
            </w:pPr>
            <w:r>
              <w:rPr>
                <w:rFonts w:ascii="Times New Roman" w:cs="Times New Roman" w:eastAsia="Times New Roman" w:hAnsi="Times New Roman"/>
                <w:sz w:val="16"/>
                <w:szCs w:val="16"/>
              </w:rPr>
              <w:t xml:space="preserve">10</w:t>
            </w:r>
          </w:p>
        </w:tc>
        <w:tc>
          <w:tcPr>
            <w:tcW w:type="dxa" w:w="1872"/>
            <w:vAlign w:val="center"/>
          </w:tcPr>
          <w:p>
            <w:pPr>
              <w:spacing w:after="20"/>
              <w:jc w:val="left"/>
            </w:pPr>
            <w:r>
              <w:rPr>
                <w:rFonts w:ascii="Times New Roman" w:cs="Times New Roman" w:eastAsia="Times New Roman" w:hAnsi="Times New Roman"/>
                <w:sz w:val="16"/>
                <w:szCs w:val="16"/>
              </w:rPr>
              <w:t xml:space="preserve">20</w:t>
            </w:r>
          </w:p>
        </w:tc>
      </w:tr>
      <w:tr>
        <w:tc>
          <w:tcPr>
            <w:tcW w:type="dxa" w:w="2448"/>
            <w:vAlign w:val="center"/>
          </w:tcPr>
          <w:p>
            <w:pPr>
              <w:spacing w:after="20"/>
              <w:jc w:val="left"/>
            </w:pPr>
            <w:r>
              <w:rPr>
                <w:rFonts w:ascii="Times New Roman" w:cs="Times New Roman" w:eastAsia="Times New Roman" w:hAnsi="Times New Roman"/>
                <w:sz w:val="16"/>
                <w:szCs w:val="16"/>
              </w:rPr>
              <w:t xml:space="preserve">500 TFLOPS/s</w:t>
            </w:r>
          </w:p>
        </w:tc>
        <w:tc>
          <w:tcPr>
            <w:tcW w:type="dxa" w:w="1584"/>
            <w:vAlign w:val="center"/>
          </w:tcPr>
          <w:p>
            <w:pPr>
              <w:spacing w:after="20"/>
              <w:jc w:val="left"/>
            </w:pPr>
            <w:r>
              <w:rPr>
                <w:rFonts w:ascii="Times New Roman" w:cs="Times New Roman" w:eastAsia="Times New Roman" w:hAnsi="Times New Roman"/>
                <w:sz w:val="16"/>
                <w:szCs w:val="16"/>
              </w:rPr>
              <w:t xml:space="preserve">A100</w:t>
            </w:r>
          </w:p>
        </w:tc>
        <w:tc>
          <w:tcPr>
            <w:tcW w:type="dxa" w:w="1944"/>
            <w:vAlign w:val="center"/>
          </w:tcPr>
          <w:p>
            <w:pPr>
              <w:spacing w:after="20"/>
              <w:jc w:val="left"/>
            </w:pPr>
            <w:r>
              <w:rPr>
                <w:rFonts w:ascii="Times New Roman" w:cs="Times New Roman" w:eastAsia="Times New Roman" w:hAnsi="Times New Roman"/>
                <w:sz w:val="16"/>
                <w:szCs w:val="16"/>
              </w:rPr>
              <w:t xml:space="preserve">312 TFLOPS/s</w:t>
            </w:r>
          </w:p>
        </w:tc>
        <w:tc>
          <w:tcPr>
            <w:tcW w:type="dxa" w:w="1656"/>
            <w:vAlign w:val="center"/>
          </w:tcPr>
          <w:p>
            <w:pPr>
              <w:spacing w:after="20"/>
              <w:jc w:val="left"/>
            </w:pPr>
            <w:r>
              <w:rPr>
                <w:rFonts w:ascii="Times New Roman" w:cs="Times New Roman" w:eastAsia="Times New Roman" w:hAnsi="Times New Roman"/>
                <w:sz w:val="16"/>
                <w:szCs w:val="16"/>
              </w:rPr>
              <w:t xml:space="preserve">2</w:t>
            </w:r>
          </w:p>
        </w:tc>
        <w:tc>
          <w:tcPr>
            <w:tcW w:type="dxa" w:w="1872"/>
            <w:vAlign w:val="center"/>
          </w:tcPr>
          <w:p>
            <w:pPr>
              <w:spacing w:after="20"/>
              <w:jc w:val="left"/>
            </w:pPr>
            <w:r>
              <w:rPr>
                <w:rFonts w:ascii="Times New Roman" w:cs="Times New Roman" w:eastAsia="Times New Roman" w:hAnsi="Times New Roman"/>
                <w:sz w:val="16"/>
                <w:szCs w:val="16"/>
              </w:rPr>
              <w:t xml:space="preserve">4</w:t>
            </w:r>
          </w:p>
        </w:tc>
      </w:tr>
    </w:tbl>
    <w:p>
      <w:pPr>
        <w:spacing w:after="160" w:before="60"/>
        <w:jc w:val="center"/>
      </w:pPr>
      <w:r>
        <w:rPr>
          <w:rFonts w:ascii="Times New Roman" w:cs="Times New Roman" w:eastAsia="Times New Roman" w:hAnsi="Times New Roman"/>
          <w:b/>
          <w:bCs/>
          <w:sz w:val="16"/>
          <w:szCs w:val="16"/>
        </w:rPr>
        <w:t xml:space="preserve">TABLE V.  ILLUSTRATIVE GPU COUNT FROM A FIXED SUSTAINED-FLOPS WORKLOAD TARGET</w:t>
      </w:r>
    </w:p>
    <w:p>
      <w:pPr>
        <w:spacing w:after="160" w:before="0" w:line="252"/>
        <w:jc w:val="both"/>
      </w:pPr>
      <w:r>
        <w:rPr>
          <w:rFonts w:ascii="Times New Roman" w:cs="Times New Roman" w:eastAsia="Times New Roman" w:hAnsi="Times New Roman"/>
          <w:sz w:val="16"/>
          <w:szCs w:val="16"/>
        </w:rPr>
        <w:t xml:space="preserve">*This row uses a conservative, workload-specific FLOPs/s figure rather than the H100's full Tensor Core peak, to illustrate the method; substitute the actual sustained per-GPU throughput measured for the target workload.</w:t>
      </w:r>
    </w:p>
    <w:p>
      <w:pPr>
        <w:sectPr>
          <w:type w:val="continuous"/>
          <w:pgSz w:w="12240" w:h="15840" w:orient="portrait"/>
          <w:pgMar w:top="720" w:right="720" w:bottom="720" w:left="720" w:header="708" w:footer="708" w:gutter="0"/>
          <w:pgNumType/>
          <w:cols w:num="1"/>
          <w:docGrid w:linePitch="360"/>
        </w:sectPr>
      </w:pPr>
    </w:p>
    <w:p>
      <w:pPr>
        <w:spacing w:after="80" w:before="140"/>
        <w:jc w:val="left"/>
      </w:pPr>
      <w:r>
        <w:rPr>
          <w:rFonts w:ascii="Times New Roman" w:cs="Times New Roman" w:eastAsia="Times New Roman" w:hAnsi="Times New Roman"/>
          <w:b/>
          <w:bCs/>
          <w:i/>
          <w:iCs/>
          <w:sz w:val="18"/>
          <w:szCs w:val="18"/>
        </w:rPr>
        <w:t xml:space="preserve">A.3 Training-Time-Based Node Sizing</w:t>
      </w:r>
    </w:p>
    <w:p>
      <w:pPr>
        <w:spacing w:after="100" w:before="0" w:line="252"/>
        <w:jc w:val="both"/>
      </w:pPr>
      <w:r>
        <w:rPr>
          <w:rFonts w:ascii="Times New Roman" w:cs="Times New Roman" w:eastAsia="Times New Roman" w:hAnsi="Times New Roman"/>
          <w:sz w:val="18"/>
          <w:szCs w:val="18"/>
        </w:rPr>
        <w:t xml:space="preserve">An alternative and more common sizing method starts from a target wall-clock training duration rather than an assumed steady-state FLOPs/s target:</w:t>
      </w:r>
    </w:p>
    <w:p>
      <w:pPr>
        <w:spacing w:after="60" w:line="252"/>
        <w:ind w:left="259" w:hanging="201"/>
        <w:jc w:val="both"/>
      </w:pPr>
      <w:r>
        <w:rPr>
          <w:rFonts w:ascii="Times New Roman" w:cs="Times New Roman" w:eastAsia="Times New Roman" w:hAnsi="Times New Roman"/>
          <w:sz w:val="18"/>
          <w:szCs w:val="18"/>
        </w:rPr>
        <w:t xml:space="preserve">•  Estimate total training compute (FLOPs) required by the model and dataset.</w:t>
      </w:r>
    </w:p>
    <w:p>
      <w:pPr>
        <w:spacing w:after="60" w:line="252"/>
        <w:ind w:left="259" w:hanging="201"/>
        <w:jc w:val="both"/>
      </w:pPr>
      <w:r>
        <w:rPr>
          <w:rFonts w:ascii="Times New Roman" w:cs="Times New Roman" w:eastAsia="Times New Roman" w:hAnsi="Times New Roman"/>
          <w:sz w:val="18"/>
          <w:szCs w:val="18"/>
        </w:rPr>
        <w:t xml:space="preserve">•  Identify the sustained FLOPs/s of the selected GPU (mixed-precision/Tensor Core figure for AI training).</w:t>
      </w:r>
    </w:p>
    <w:p>
      <w:pPr>
        <w:spacing w:after="60" w:line="252"/>
        <w:ind w:left="259" w:hanging="201"/>
        <w:jc w:val="both"/>
      </w:pPr>
      <w:r>
        <w:rPr>
          <w:rFonts w:ascii="Times New Roman" w:cs="Times New Roman" w:eastAsia="Times New Roman" w:hAnsi="Times New Roman"/>
          <w:sz w:val="18"/>
          <w:szCs w:val="18"/>
        </w:rPr>
        <w:t xml:space="preserve">•  Choose a target training time and convert it to seconds.</w:t>
      </w:r>
    </w:p>
    <w:p>
      <w:pPr>
        <w:spacing w:after="60" w:line="252"/>
        <w:ind w:left="259" w:hanging="201"/>
        <w:jc w:val="both"/>
      </w:pPr>
      <w:r>
        <w:rPr>
          <w:rFonts w:ascii="Times New Roman" w:cs="Times New Roman" w:eastAsia="Times New Roman" w:hAnsi="Times New Roman"/>
          <w:sz w:val="18"/>
          <w:szCs w:val="18"/>
        </w:rPr>
        <w:t xml:space="preserve">•  Compute per-node compute capacity: GPU FLOPs/s × GPUs per node × training time in seconds.</w:t>
      </w:r>
    </w:p>
    <w:p>
      <w:pPr>
        <w:spacing w:after="60" w:line="252"/>
        <w:ind w:left="259" w:hanging="201"/>
        <w:jc w:val="both"/>
      </w:pPr>
      <w:r>
        <w:rPr>
          <w:rFonts w:ascii="Times New Roman" w:cs="Times New Roman" w:eastAsia="Times New Roman" w:hAnsi="Times New Roman"/>
          <w:sz w:val="18"/>
          <w:szCs w:val="18"/>
        </w:rPr>
        <w:t xml:space="preserve">•  Divide total required FLOPs by per-node compute capacity to obtain the required node count.</w:t>
      </w:r>
    </w:p>
    <w:p>
      <w:pPr>
        <w:spacing w:after="80" w:before="140"/>
        <w:jc w:val="left"/>
      </w:pPr>
      <w:r>
        <w:rPr>
          <w:rFonts w:ascii="Times New Roman" w:cs="Times New Roman" w:eastAsia="Times New Roman" w:hAnsi="Times New Roman"/>
          <w:b/>
          <w:bCs/>
          <w:i/>
          <w:iCs/>
          <w:sz w:val="18"/>
          <w:szCs w:val="18"/>
        </w:rPr>
        <w:t xml:space="preserve">A.4 Worked Example: 175-Billion-Parameter Model</w:t>
      </w:r>
    </w:p>
    <w:p>
      <w:pPr>
        <w:spacing w:after="100" w:before="0" w:line="252"/>
        <w:jc w:val="both"/>
      </w:pPr>
      <w:r>
        <w:rPr>
          <w:rFonts w:ascii="Times New Roman" w:cs="Times New Roman" w:eastAsia="Times New Roman" w:hAnsi="Times New Roman"/>
          <w:sz w:val="18"/>
          <w:szCs w:val="18"/>
        </w:rPr>
        <w:t xml:space="preserve">Total training compute is estimated using the widely cited approximation FLOPs ≈ 6 × N × D, where N is the parameter count and D is the number of training tokens [7]. For N = 175 × 10⁹ and a representative D ≈ 300 × 10⁹ tokens:</w:t>
      </w:r>
    </w:p>
    <w:p>
      <w:pPr>
        <w:spacing w:after="100" w:before="0" w:line="252"/>
        <w:jc w:val="center"/>
      </w:pPr>
      <w:r>
        <w:rPr>
          <w:rFonts w:ascii="Times New Roman" w:cs="Times New Roman" w:eastAsia="Times New Roman" w:hAnsi="Times New Roman"/>
          <w:sz w:val="18"/>
          <w:szCs w:val="18"/>
        </w:rPr>
        <w:t xml:space="preserve">FLOPs ≈ 6 × 175×10⁹ × 300×10⁹ ≈ 3.15 × 10²³ FLOPs (≈314 exaFLOPs, i.e., ≈ 0.314 zettaFLOPs).</w:t>
      </w:r>
    </w:p>
    <w:p>
      <w:pPr>
        <w:pBdr>
          <w:top w:val="single" w:color="C99A4B" w:sz="4"/>
          <w:bottom w:val="single" w:color="C99A4B" w:sz="4"/>
          <w:left w:val="single" w:color="C99A4B" w:sz="4"/>
          <w:right w:val="single" w:color="C99A4B" w:sz="4"/>
        </w:pBdr>
        <w:shd w:fill="FBF0E4" w:val="clear"/>
        <w:spacing w:after="120" w:before="100" w:line="252"/>
        <w:jc w:val="both"/>
      </w:pPr>
      <w:r>
        <w:rPr>
          <w:rFonts w:ascii="Times New Roman" w:cs="Times New Roman" w:eastAsia="Times New Roman" w:hAnsi="Times New Roman"/>
          <w:b/>
          <w:bCs/>
          <w:sz w:val="18"/>
          <w:szCs w:val="18"/>
        </w:rPr>
        <w:t xml:space="preserve">Correction:  </w:t>
      </w:r>
      <w:r>
        <w:rPr>
          <w:rFonts w:ascii="Times New Roman" w:cs="Times New Roman" w:eastAsia="Times New Roman" w:hAnsi="Times New Roman"/>
          <w:i/>
          <w:iCs/>
          <w:sz w:val="18"/>
          <w:szCs w:val="18"/>
        </w:rPr>
        <w:t xml:space="preserve"> the original planning estimate of “≈364 zettaFLOPs” for this model is roughly three orders of magnitude too large — the correct order of magnitude is ≈ 0.3 zettaFLOPs (≈314 exaFLOPs), consistent with published GPT-3-scale training-compute estimates. Because required node count scales linearly with this figure, the error propagates directly into a grossly inflated node estimate if left uncorrected.</w:t>
      </w:r>
    </w:p>
    <w:p>
      <w:pPr>
        <w:spacing w:after="100" w:before="0" w:line="252"/>
        <w:jc w:val="both"/>
      </w:pPr>
      <w:r>
        <w:rPr>
          <w:rFonts w:ascii="Times New Roman" w:cs="Times New Roman" w:eastAsia="Times New Roman" w:hAnsi="Times New Roman"/>
          <w:sz w:val="18"/>
          <w:szCs w:val="18"/>
        </w:rPr>
        <w:t xml:space="preserve">Using an 8× A100 node (312 TFLOPS/s per GPU, mixed precision) and a 30-day training window (2,592,000 s):</w:t>
      </w:r>
    </w:p>
    <w:p>
      <w:pPr>
        <w:spacing w:after="100" w:before="0" w:line="252"/>
        <w:jc w:val="center"/>
      </w:pPr>
      <w:r>
        <w:rPr>
          <w:rFonts w:ascii="Times New Roman" w:cs="Times New Roman" w:eastAsia="Times New Roman" w:hAnsi="Times New Roman"/>
          <w:sz w:val="18"/>
          <w:szCs w:val="18"/>
        </w:rPr>
        <w:t xml:space="preserve">Node compute = 312×10¹² × 8 × 2,592,000 ≈ 6.47×10²¹ FLOPs (≈ 6.47 zettaFLOPs) per node.</w:t>
      </w:r>
    </w:p>
    <w:p>
      <w:pPr>
        <w:spacing w:after="100" w:before="0" w:line="252"/>
        <w:jc w:val="center"/>
      </w:pPr>
      <w:r>
        <w:rPr>
          <w:rFonts w:ascii="Times New Roman" w:cs="Times New Roman" w:eastAsia="Times New Roman" w:hAnsi="Times New Roman"/>
          <w:sz w:val="18"/>
          <w:szCs w:val="18"/>
        </w:rPr>
        <w:t xml:space="preserve">Required nodes (ideal, 100% utilization) = 3.15×10²³ / 6.47×10²¹ ≈ 49 nodes.</w:t>
      </w:r>
    </w:p>
    <w:p>
      <w:pPr>
        <w:spacing w:after="100" w:before="0" w:line="252"/>
        <w:jc w:val="both"/>
      </w:pPr>
      <w:r>
        <w:rPr>
          <w:rFonts w:ascii="Times New Roman" w:cs="Times New Roman" w:eastAsia="Times New Roman" w:hAnsi="Times New Roman"/>
          <w:sz w:val="18"/>
          <w:szCs w:val="18"/>
        </w:rPr>
        <w:t xml:space="preserve">At a realistic model FLOPs utilization (MFU) of 40% — typical for large-scale distributed training once communication, pipeline-bubble, and data-loading overhead are accounted for — the required node count scales to approximately 49 / 0.4 ≈ 123 nodes. Both corrected figures (≈49 and ≈123 nodes) are dramatically smaller than the original planning document's figure of ≈56,400 nodes, which resulted from carrying forward the unit error described above. This example illustrates why every cluster-sizing calculation should be independently re-derived rather than propagated from an unverified estimate, given the direct cost impact of node count on the budget analysis in Section X.</w:t>
      </w:r>
    </w:p>
    <w:p>
      <w:pPr>
        <w:spacing w:after="80" w:before="140"/>
        <w:jc w:val="left"/>
      </w:pPr>
      <w:r>
        <w:rPr>
          <w:rFonts w:ascii="Times New Roman" w:cs="Times New Roman" w:eastAsia="Times New Roman" w:hAnsi="Times New Roman"/>
          <w:b/>
          <w:bCs/>
          <w:i/>
          <w:iCs/>
          <w:sz w:val="18"/>
          <w:szCs w:val="18"/>
        </w:rPr>
        <w:t xml:space="preserve">A.5 Reference Virtual Machine</w:t>
      </w:r>
    </w:p>
    <w:p>
      <w:pPr>
        <w:spacing w:after="100" w:before="0" w:line="252"/>
        <w:jc w:val="both"/>
      </w:pPr>
      <w:r>
        <w:rPr>
          <w:rFonts w:ascii="Times New Roman" w:cs="Times New Roman" w:eastAsia="Times New Roman" w:hAnsi="Times New Roman"/>
          <w:sz w:val="18"/>
          <w:szCs w:val="18"/>
        </w:rPr>
        <w:t xml:space="preserve">The reference compute node selected for this deployment is Azure Standard_ND96isr_H100_v5: 8× NVIDIA H100 GPUs (80 GB HBM3 each), 96 Intel Sapphire Rapids vCPUs, approximately 1,900 GiB RAM, NVLink 4.0 intra-node interconnect, and 3.2 Tb/s aggregate InfiniBand for inter-node scale-out. Published on-demand pricing at the time the source planning material was prepared was approximately US$98/hour for the 8-GPU configuration; current pricing should always be re-verified against the Azure pricing calculator before budget approval, since GPU VM pricing changes more frequently than most other Azure SKUs.</w:t>
      </w:r>
    </w:p>
    <w:p>
      <w:pPr>
        <w:spacing w:after="80" w:before="140"/>
        <w:jc w:val="left"/>
      </w:pPr>
      <w:r>
        <w:rPr>
          <w:rFonts w:ascii="Times New Roman" w:cs="Times New Roman" w:eastAsia="Times New Roman" w:hAnsi="Times New Roman"/>
          <w:b/>
          <w:bCs/>
          <w:i/>
          <w:iCs/>
          <w:sz w:val="18"/>
          <w:szCs w:val="18"/>
        </w:rPr>
        <w:t xml:space="preserve">A.6 GPU Server Configuration Checklist</w:t>
      </w:r>
    </w:p>
    <w:p>
      <w:pPr>
        <w:spacing w:after="100" w:before="0" w:line="252"/>
        <w:jc w:val="both"/>
      </w:pPr>
      <w:r>
        <w:rPr>
          <w:rFonts w:ascii="Times New Roman" w:cs="Times New Roman" w:eastAsia="Times New Roman" w:hAnsi="Times New Roman"/>
          <w:sz w:val="18"/>
          <w:szCs w:val="18"/>
        </w:rPr>
        <w:t xml:space="preserve">Bringing up an H100 server (or validating an Azure ND H100 v5 image) involves, in order:</w:t>
      </w:r>
    </w:p>
    <w:p>
      <w:pPr>
        <w:spacing w:after="60" w:line="252"/>
        <w:ind w:left="259" w:hanging="201"/>
        <w:jc w:val="both"/>
      </w:pPr>
      <w:r>
        <w:rPr>
          <w:rFonts w:ascii="Times New Roman" w:cs="Times New Roman" w:eastAsia="Times New Roman" w:hAnsi="Times New Roman"/>
          <w:sz w:val="18"/>
          <w:szCs w:val="18"/>
        </w:rPr>
        <w:t xml:space="preserve">•  Base OS installation and current NVIDIA GPU driver installation.</w:t>
      </w:r>
    </w:p>
    <w:p>
      <w:pPr>
        <w:spacing w:after="60" w:line="252"/>
        <w:ind w:left="259" w:hanging="201"/>
        <w:jc w:val="both"/>
      </w:pPr>
      <w:r>
        <w:rPr>
          <w:rFonts w:ascii="Times New Roman" w:cs="Times New Roman" w:eastAsia="Times New Roman" w:hAnsi="Times New Roman"/>
          <w:sz w:val="18"/>
          <w:szCs w:val="18"/>
        </w:rPr>
        <w:t xml:space="preserve">•  CUDA toolkit installation matching the driver and framework versions in use.</w:t>
      </w:r>
    </w:p>
    <w:p>
      <w:pPr>
        <w:spacing w:after="60" w:line="252"/>
        <w:ind w:left="259" w:hanging="201"/>
        <w:jc w:val="both"/>
      </w:pPr>
      <w:r>
        <w:rPr>
          <w:rFonts w:ascii="Times New Roman" w:cs="Times New Roman" w:eastAsia="Times New Roman" w:hAnsi="Times New Roman"/>
          <w:sz w:val="18"/>
          <w:szCs w:val="18"/>
        </w:rPr>
        <w:t xml:space="preserve">•  Mellanox OFED installation for InfiniBand, with GPUDirect RDMA enabled.</w:t>
      </w:r>
    </w:p>
    <w:p>
      <w:pPr>
        <w:spacing w:after="60" w:line="252"/>
        <w:ind w:left="259" w:hanging="201"/>
        <w:jc w:val="both"/>
      </w:pPr>
      <w:r>
        <w:rPr>
          <w:rFonts w:ascii="Times New Roman" w:cs="Times New Roman" w:eastAsia="Times New Roman" w:hAnsi="Times New Roman"/>
          <w:sz w:val="18"/>
          <w:szCs w:val="18"/>
        </w:rPr>
        <w:t xml:space="preserve">•  NVIDIA Fabric Manager installation and startup for NVLink/NVSwitch topologies.</w:t>
      </w:r>
    </w:p>
    <w:p>
      <w:pPr>
        <w:spacing w:after="60" w:line="252"/>
        <w:ind w:left="259" w:hanging="201"/>
        <w:jc w:val="both"/>
      </w:pPr>
      <w:r>
        <w:rPr>
          <w:rFonts w:ascii="Times New Roman" w:cs="Times New Roman" w:eastAsia="Times New Roman" w:hAnsi="Times New Roman"/>
          <w:sz w:val="18"/>
          <w:szCs w:val="18"/>
        </w:rPr>
        <w:t xml:space="preserve">•  Local NVMe storage configuration for scratch and checkpoint staging.</w:t>
      </w:r>
    </w:p>
    <w:p>
      <w:pPr>
        <w:spacing w:after="60" w:line="252"/>
        <w:ind w:left="259" w:hanging="201"/>
        <w:jc w:val="both"/>
      </w:pPr>
      <w:r>
        <w:rPr>
          <w:rFonts w:ascii="Times New Roman" w:cs="Times New Roman" w:eastAsia="Times New Roman" w:hAnsi="Times New Roman"/>
          <w:sz w:val="18"/>
          <w:szCs w:val="18"/>
        </w:rPr>
        <w:t xml:space="preserve">•  NVIDIA Container Toolkit (NVIDIA Docker runtime) installation for containerized workloads.</w:t>
      </w:r>
    </w:p>
    <w:p>
      <w:pPr>
        <w:spacing w:after="60" w:line="252"/>
        <w:ind w:left="259" w:hanging="201"/>
        <w:jc w:val="both"/>
      </w:pPr>
      <w:r>
        <w:rPr>
          <w:rFonts w:ascii="Times New Roman" w:cs="Times New Roman" w:eastAsia="Times New Roman" w:hAnsi="Times New Roman"/>
          <w:sz w:val="18"/>
          <w:szCs w:val="18"/>
        </w:rPr>
        <w:t xml:space="preserve">•  Optional HPC/AI framework installation (PyTorch, NCCL-enabled build).</w:t>
      </w:r>
    </w:p>
    <w:p>
      <w:pPr>
        <w:spacing w:after="60" w:line="252"/>
        <w:ind w:left="259" w:hanging="201"/>
        <w:jc w:val="both"/>
      </w:pPr>
      <w:r>
        <w:rPr>
          <w:rFonts w:ascii="Times New Roman" w:cs="Times New Roman" w:eastAsia="Times New Roman" w:hAnsi="Times New Roman"/>
          <w:sz w:val="18"/>
          <w:szCs w:val="18"/>
        </w:rPr>
        <w:t xml:space="preserve">•  Monitoring agent installation — NVIDIA DCGM exporter with Prometheus scraping.</w:t>
      </w:r>
    </w:p>
    <w:p>
      <w:pPr>
        <w:spacing w:after="60" w:line="252"/>
        <w:ind w:left="259" w:hanging="201"/>
        <w:jc w:val="both"/>
      </w:pPr>
      <w:r>
        <w:rPr>
          <w:rFonts w:ascii="Times New Roman" w:cs="Times New Roman" w:eastAsia="Times New Roman" w:hAnsi="Times New Roman"/>
          <w:sz w:val="18"/>
          <w:szCs w:val="18"/>
        </w:rPr>
        <w:t xml:space="preserve">•  Security hardening — host firewall configuration and disabling of unnecessary services.</w:t>
      </w:r>
    </w:p>
    <w:p>
      <w:pPr>
        <w:sectPr>
          <w:type w:val="continuous"/>
          <w:pgSz w:w="12240" w:h="15840" w:orient="portrait"/>
          <w:pgMar w:top="720" w:right="720" w:bottom="720" w:left="720" w:header="708" w:footer="708" w:gutter="0"/>
          <w:pgNumType/>
          <w:cols w:space="288" w:num="2"/>
          <w:docGrid w:linePitch="360"/>
        </w:sectPr>
      </w:pPr>
    </w:p>
    <w:p>
      <w:pPr>
        <w:spacing w:after="120" w:before="220"/>
        <w:jc w:val="center"/>
      </w:pPr>
      <w:r>
        <w:rPr>
          <w:rFonts w:ascii="Times New Roman" w:cs="Times New Roman" w:eastAsia="Times New Roman" w:hAnsi="Times New Roman"/>
          <w:b/>
          <w:bCs/>
          <w:sz w:val="19"/>
          <w:szCs w:val="19"/>
        </w:rPr>
        <w:t xml:space="preserve">Appendix B. Network: GPU Requirement Analysis</w:t>
      </w:r>
    </w:p>
    <w:p>
      <w:pPr>
        <w:spacing w:after="100" w:before="0" w:line="252"/>
        <w:jc w:val="both"/>
      </w:pPr>
      <w:r>
        <w:rPr>
          <w:rFonts w:ascii="Times New Roman" w:cs="Times New Roman" w:eastAsia="Times New Roman" w:hAnsi="Times New Roman"/>
          <w:sz w:val="18"/>
          <w:szCs w:val="18"/>
        </w:rPr>
        <w:t xml:space="preserve">This appendix provides the spine–leaf design principles and the AKS command-line and Kubernetes manifest artifacts used to provision the GPU node pool described in Section V and Fig. 4.</w:t>
      </w:r>
    </w:p>
    <w:p>
      <w:pPr>
        <w:spacing w:after="80" w:before="140"/>
        <w:jc w:val="left"/>
      </w:pPr>
      <w:r>
        <w:rPr>
          <w:rFonts w:ascii="Times New Roman" w:cs="Times New Roman" w:eastAsia="Times New Roman" w:hAnsi="Times New Roman"/>
          <w:b/>
          <w:bCs/>
          <w:i/>
          <w:iCs/>
          <w:sz w:val="18"/>
          <w:szCs w:val="18"/>
        </w:rPr>
        <w:t xml:space="preserve">B.1 Spine–Leaf Design Principles</w:t>
      </w:r>
    </w:p>
    <w:p>
      <w:pPr>
        <w:spacing w:after="60" w:line="252"/>
        <w:ind w:left="259" w:hanging="201"/>
        <w:jc w:val="both"/>
      </w:pPr>
      <w:r>
        <w:rPr>
          <w:rFonts w:ascii="Times New Roman" w:cs="Times New Roman" w:eastAsia="Times New Roman" w:hAnsi="Times New Roman"/>
          <w:sz w:val="18"/>
          <w:szCs w:val="18"/>
        </w:rPr>
        <w:t xml:space="preserve">•  Each ND H100 v5 node exposes 8× NVIDIA H100 GPUs interconnected via NVLink 4.0 (≈900 GB/s per GPU) for intra-node bandwidth.</w:t>
      </w:r>
    </w:p>
    <w:p>
      <w:pPr>
        <w:spacing w:after="60" w:line="252"/>
        <w:ind w:left="259" w:hanging="201"/>
        <w:jc w:val="both"/>
      </w:pPr>
      <w:r>
        <w:rPr>
          <w:rFonts w:ascii="Times New Roman" w:cs="Times New Roman" w:eastAsia="Times New Roman" w:hAnsi="Times New Roman"/>
          <w:sz w:val="18"/>
          <w:szCs w:val="18"/>
        </w:rPr>
        <w:t xml:space="preserve">•  Inter-node communication uses NVIDIA Quantum-2 InfiniBand at 8× 400 Gb/s per VM (one 400 Gb/s link per GPU), giving 3.2 Tb/s aggregate bandwidth per node.</w:t>
      </w:r>
    </w:p>
    <w:p>
      <w:pPr>
        <w:spacing w:after="60" w:line="252"/>
        <w:ind w:left="259" w:hanging="201"/>
        <w:jc w:val="both"/>
      </w:pPr>
      <w:r>
        <w:rPr>
          <w:rFonts w:ascii="Times New Roman" w:cs="Times New Roman" w:eastAsia="Times New Roman" w:hAnsi="Times New Roman"/>
          <w:sz w:val="18"/>
          <w:szCs w:val="18"/>
        </w:rPr>
        <w:t xml:space="preserve">•  Leaf switches connect directly to nodes via InfiniBand CX7 adapters; spine switches aggregate multiple leaves for horizontal scale-out to hundreds or thousands of GPUs.</w:t>
      </w:r>
    </w:p>
    <w:p>
      <w:pPr>
        <w:spacing w:after="60" w:line="252"/>
        <w:ind w:left="259" w:hanging="201"/>
        <w:jc w:val="both"/>
      </w:pPr>
      <w:r>
        <w:rPr>
          <w:rFonts w:ascii="Times New Roman" w:cs="Times New Roman" w:eastAsia="Times New Roman" w:hAnsi="Times New Roman"/>
          <w:sz w:val="18"/>
          <w:szCs w:val="18"/>
        </w:rPr>
        <w:t xml:space="preserve">•  The topology is designed as non-blocking to minimize oversubscription and to support NCCL-based collective operations for multi-node training with predictable latency.</w:t>
      </w:r>
    </w:p>
    <w:p>
      <w:pPr>
        <w:spacing w:after="60" w:line="252"/>
        <w:ind w:left="259" w:hanging="201"/>
        <w:jc w:val="both"/>
      </w:pPr>
      <w:r>
        <w:rPr>
          <w:rFonts w:ascii="Times New Roman" w:cs="Times New Roman" w:eastAsia="Times New Roman" w:hAnsi="Times New Roman"/>
          <w:sz w:val="18"/>
          <w:szCs w:val="18"/>
        </w:rPr>
        <w:t xml:space="preserve">•  The front-end network (100 GbE) carries control-plane and AKS traffic separately from the InfiniBand GPU data path, and is provisioned at roughly 1 GB/s of bandwidth per 10 GFLOPS of GPU compute as a starting planning ratio.</w:t>
      </w:r>
    </w:p>
    <w:p>
      <w:pPr>
        <w:spacing w:after="60" w:line="252"/>
        <w:ind w:left="259" w:hanging="201"/>
        <w:jc w:val="both"/>
      </w:pPr>
      <w:r>
        <w:rPr>
          <w:rFonts w:ascii="Times New Roman" w:cs="Times New Roman" w:eastAsia="Times New Roman" w:hAnsi="Times New Roman"/>
          <w:sz w:val="18"/>
          <w:szCs w:val="18"/>
        </w:rPr>
        <w:t xml:space="preserve">•  AKS pod networking uses Azure CNI Overlay; GPU workloads rely on the InfiniBand fabric directly for NCCL all-reduce rather than routing collective traffic through the Kubernetes pod network.</w:t>
      </w:r>
    </w:p>
    <w:p>
      <w:pPr>
        <w:sectPr>
          <w:type w:val="continuous"/>
          <w:pgSz w:w="12240" w:h="15840" w:orient="portrait"/>
          <w:pgMar w:top="720" w:right="720" w:bottom="720" w:left="720" w:header="708" w:footer="708" w:gutter="0"/>
          <w:pgNumType/>
          <w:cols w:space="288" w:num="2"/>
          <w:docGrid w:linePitch="360"/>
        </w:sectPr>
      </w:pPr>
    </w:p>
    <w:p>
      <w:pPr>
        <w:spacing w:after="80" w:before="140"/>
        <w:jc w:val="left"/>
      </w:pPr>
      <w:r>
        <w:rPr>
          <w:rFonts w:ascii="Times New Roman" w:cs="Times New Roman" w:eastAsia="Times New Roman" w:hAnsi="Times New Roman"/>
          <w:b/>
          <w:bCs/>
          <w:i/>
          <w:iCs/>
          <w:sz w:val="18"/>
          <w:szCs w:val="18"/>
        </w:rPr>
        <w:t xml:space="preserve">B.2 AKS Cluster and GPU Node Pool Provisioning</w:t>
      </w:r>
    </w:p>
    <w:p>
      <w:pPr>
        <w:spacing w:after="60" w:before="0" w:line="252"/>
        <w:jc w:val="both"/>
      </w:pPr>
      <w:r>
        <w:rPr>
          <w:rFonts w:ascii="Times New Roman" w:cs="Times New Roman" w:eastAsia="Times New Roman" w:hAnsi="Times New Roman"/>
          <w:sz w:val="18"/>
          <w:szCs w:val="18"/>
        </w:rPr>
        <w:t xml:space="preserve">Cluster and node-pool creation (region must have ND H100 v5 quota and capacity):</w:t>
      </w:r>
    </w:p>
    <w:p>
      <w:pPr>
        <w:shd w:fill="F2F2F2" w:val="clear"/>
        <w:spacing w:after="0" w:line="232"/>
      </w:pPr>
      <w:r>
        <w:rPr>
          <w:rFonts w:ascii="Courier New" w:cs="Courier New" w:eastAsia="Courier New" w:hAnsi="Courier New"/>
          <w:sz w:val="16"/>
          <w:szCs w:val="16"/>
        </w:rPr>
        <w:t xml:space="preserve">RG=rg-aks-ndh100</w:t>
      </w:r>
    </w:p>
    <w:p>
      <w:pPr>
        <w:shd w:fill="F2F2F2" w:val="clear"/>
        <w:spacing w:after="0" w:line="232"/>
      </w:pPr>
      <w:r>
        <w:rPr>
          <w:rFonts w:ascii="Courier New" w:cs="Courier New" w:eastAsia="Courier New" w:hAnsi="Courier New"/>
          <w:sz w:val="16"/>
          <w:szCs w:val="16"/>
        </w:rPr>
        <w:t xml:space="preserve">CLUSTER=aks-ndh100</w:t>
      </w:r>
    </w:p>
    <w:p>
      <w:pPr>
        <w:shd w:fill="F2F2F2" w:val="clear"/>
        <w:spacing w:after="0" w:line="232"/>
      </w:pPr>
      <w:r>
        <w:rPr>
          <w:rFonts w:ascii="Courier New" w:cs="Courier New" w:eastAsia="Courier New" w:hAnsi="Courier New"/>
          <w:sz w:val="16"/>
          <w:szCs w:val="16"/>
        </w:rPr>
        <w:t xml:space="preserve">LOC=eastus   # region with ND H100 v5 capacity</w:t>
      </w:r>
    </w:p>
    <w:p>
      <w:pPr>
        <w:shd w:fill="F2F2F2" w:val="clear"/>
        <w:spacing w:after="0" w:line="232"/>
      </w:pPr>
      <w:r>
        <w:rPr>
          <w:rFonts w:ascii="Courier New" w:cs="Courier New" w:eastAsia="Courier New" w:hAnsi="Courier New"/>
          <w:sz w:val="16"/>
          <w:szCs w:val="16"/>
        </w:rPr>
        <w:t xml:space="preserve">VNET=vnet-aks</w:t>
      </w:r>
    </w:p>
    <w:p>
      <w:pPr>
        <w:shd w:fill="F2F2F2" w:val="clear"/>
        <w:spacing w:after="0" w:line="232"/>
      </w:pPr>
      <w:r>
        <w:rPr>
          <w:rFonts w:ascii="Courier New" w:cs="Courier New" w:eastAsia="Courier New" w:hAnsi="Courier New"/>
          <w:sz w:val="16"/>
          <w:szCs w:val="16"/>
        </w:rPr>
        <w:t xml:space="preserve">SUBNET_NODE=subnet-nodes</w:t>
      </w:r>
    </w:p>
    <w:p>
      <w:pPr>
        <w:shd w:fill="F2F2F2" w:val="clear"/>
        <w:spacing w:after="0" w:line="232"/>
      </w:pPr>
      <w:r>
        <w:rPr>
          <w:rFonts w:ascii="Courier New" w:cs="Courier New" w:eastAsia="Courier New" w:hAnsi="Courier New"/>
          <w:sz w:val="16"/>
          <w:szCs w:val="16"/>
        </w:rPr>
        <w:t xml:space="preserve"> </w:t>
      </w:r>
    </w:p>
    <w:p>
      <w:pPr>
        <w:shd w:fill="F2F2F2" w:val="clear"/>
        <w:spacing w:after="0" w:line="232"/>
      </w:pPr>
      <w:r>
        <w:rPr>
          <w:rFonts w:ascii="Courier New" w:cs="Courier New" w:eastAsia="Courier New" w:hAnsi="Courier New"/>
          <w:sz w:val="16"/>
          <w:szCs w:val="16"/>
        </w:rPr>
        <w:t xml:space="preserve">az group create -n $RG -l $LOC</w:t>
      </w:r>
    </w:p>
    <w:p>
      <w:pPr>
        <w:shd w:fill="F2F2F2" w:val="clear"/>
        <w:spacing w:after="0" w:line="232"/>
      </w:pPr>
      <w:r>
        <w:rPr>
          <w:rFonts w:ascii="Courier New" w:cs="Courier New" w:eastAsia="Courier New" w:hAnsi="Courier New"/>
          <w:sz w:val="16"/>
          <w:szCs w:val="16"/>
        </w:rPr>
        <w:t xml:space="preserve"> </w:t>
      </w:r>
    </w:p>
    <w:p>
      <w:pPr>
        <w:shd w:fill="F2F2F2" w:val="clear"/>
        <w:spacing w:after="0" w:line="232"/>
      </w:pPr>
      <w:r>
        <w:rPr>
          <w:rFonts w:ascii="Courier New" w:cs="Courier New" w:eastAsia="Courier New" w:hAnsi="Courier New"/>
          <w:sz w:val="16"/>
          <w:szCs w:val="16"/>
        </w:rPr>
        <w:t xml:space="preserve">az network vnet create -g $RG -n $VNET -l $LOC \</w:t>
      </w:r>
    </w:p>
    <w:p>
      <w:pPr>
        <w:shd w:fill="F2F2F2" w:val="clear"/>
        <w:spacing w:after="0" w:line="232"/>
      </w:pPr>
      <w:r>
        <w:rPr>
          <w:rFonts w:ascii="Courier New" w:cs="Courier New" w:eastAsia="Courier New" w:hAnsi="Courier New"/>
          <w:sz w:val="16"/>
          <w:szCs w:val="16"/>
        </w:rPr>
        <w:t xml:space="preserve">  --address-prefixes 10.10.0.0/16 \</w:t>
      </w:r>
    </w:p>
    <w:p>
      <w:pPr>
        <w:shd w:fill="F2F2F2" w:val="clear"/>
        <w:spacing w:after="0" w:line="232"/>
      </w:pPr>
      <w:r>
        <w:rPr>
          <w:rFonts w:ascii="Courier New" w:cs="Courier New" w:eastAsia="Courier New" w:hAnsi="Courier New"/>
          <w:sz w:val="16"/>
          <w:szCs w:val="16"/>
        </w:rPr>
        <w:t xml:space="preserve">  --subnet-name $SUBNET_NODE --subnet-prefixes 10.10.0.0/24</w:t>
      </w:r>
    </w:p>
    <w:p>
      <w:pPr>
        <w:shd w:fill="F2F2F2" w:val="clear"/>
        <w:spacing w:after="0" w:line="232"/>
      </w:pPr>
      <w:r>
        <w:rPr>
          <w:rFonts w:ascii="Courier New" w:cs="Courier New" w:eastAsia="Courier New" w:hAnsi="Courier New"/>
          <w:sz w:val="16"/>
          <w:szCs w:val="16"/>
        </w:rPr>
        <w:t xml:space="preserve"> </w:t>
      </w:r>
    </w:p>
    <w:p>
      <w:pPr>
        <w:shd w:fill="F2F2F2" w:val="clear"/>
        <w:spacing w:after="0" w:line="232"/>
      </w:pPr>
      <w:r>
        <w:rPr>
          <w:rFonts w:ascii="Courier New" w:cs="Courier New" w:eastAsia="Courier New" w:hAnsi="Courier New"/>
          <w:sz w:val="16"/>
          <w:szCs w:val="16"/>
        </w:rPr>
        <w:t xml:space="preserve">az aks create -g $RG -n $CLUSTER -l $LOC \</w:t>
      </w:r>
    </w:p>
    <w:p>
      <w:pPr>
        <w:shd w:fill="F2F2F2" w:val="clear"/>
        <w:spacing w:after="0" w:line="232"/>
      </w:pPr>
      <w:r>
        <w:rPr>
          <w:rFonts w:ascii="Courier New" w:cs="Courier New" w:eastAsia="Courier New" w:hAnsi="Courier New"/>
          <w:sz w:val="16"/>
          <w:szCs w:val="16"/>
        </w:rPr>
        <w:t xml:space="preserve">  --network-plugin azure --network-plugin-mode overlay \</w:t>
      </w:r>
    </w:p>
    <w:p>
      <w:pPr>
        <w:shd w:fill="F2F2F2" w:val="clear"/>
        <w:spacing w:after="0" w:line="232"/>
      </w:pPr>
      <w:r>
        <w:rPr>
          <w:rFonts w:ascii="Courier New" w:cs="Courier New" w:eastAsia="Courier New" w:hAnsi="Courier New"/>
          <w:sz w:val="16"/>
          <w:szCs w:val="16"/>
        </w:rPr>
        <w:t xml:space="preserve">  --node-count 3 --node-vm-size Standard_D8s_v5 \</w:t>
      </w:r>
    </w:p>
    <w:p>
      <w:pPr>
        <w:shd w:fill="F2F2F2" w:val="clear"/>
        <w:spacing w:after="0" w:line="232"/>
      </w:pPr>
      <w:r>
        <w:rPr>
          <w:rFonts w:ascii="Courier New" w:cs="Courier New" w:eastAsia="Courier New" w:hAnsi="Courier New"/>
          <w:sz w:val="16"/>
          <w:szCs w:val="16"/>
        </w:rPr>
        <w:t xml:space="preserve">  --enable-managed-identity</w:t>
      </w:r>
    </w:p>
    <w:p>
      <w:pPr>
        <w:shd w:fill="F2F2F2" w:val="clear"/>
        <w:spacing w:after="0" w:line="232"/>
      </w:pPr>
      <w:r>
        <w:rPr>
          <w:rFonts w:ascii="Courier New" w:cs="Courier New" w:eastAsia="Courier New" w:hAnsi="Courier New"/>
          <w:sz w:val="16"/>
          <w:szCs w:val="16"/>
        </w:rPr>
        <w:t xml:space="preserve"> </w:t>
      </w:r>
    </w:p>
    <w:p>
      <w:pPr>
        <w:shd w:fill="F2F2F2" w:val="clear"/>
        <w:spacing w:after="0" w:line="232"/>
      </w:pPr>
      <w:r>
        <w:rPr>
          <w:rFonts w:ascii="Courier New" w:cs="Courier New" w:eastAsia="Courier New" w:hAnsi="Courier New"/>
          <w:sz w:val="16"/>
          <w:szCs w:val="16"/>
        </w:rPr>
        <w:t xml:space="preserve">az aks nodepool add -g $RG --cluster-name $CLUSTER \</w:t>
      </w:r>
    </w:p>
    <w:p>
      <w:pPr>
        <w:shd w:fill="F2F2F2" w:val="clear"/>
        <w:spacing w:after="0" w:line="232"/>
      </w:pPr>
      <w:r>
        <w:rPr>
          <w:rFonts w:ascii="Courier New" w:cs="Courier New" w:eastAsia="Courier New" w:hAnsi="Courier New"/>
          <w:sz w:val="16"/>
          <w:szCs w:val="16"/>
        </w:rPr>
        <w:t xml:space="preserve">  -n gpuh100 --node-vm-size Standard_ND96isr_H100_v5 \</w:t>
      </w:r>
    </w:p>
    <w:p>
      <w:pPr>
        <w:shd w:fill="F2F2F2" w:val="clear"/>
        <w:spacing w:after="0" w:line="232"/>
      </w:pPr>
      <w:r>
        <w:rPr>
          <w:rFonts w:ascii="Courier New" w:cs="Courier New" w:eastAsia="Courier New" w:hAnsi="Courier New"/>
          <w:sz w:val="16"/>
          <w:szCs w:val="16"/>
        </w:rPr>
        <w:t xml:space="preserve">  --node-count 1 --enable-cluster-autoscaler \</w:t>
      </w:r>
    </w:p>
    <w:p>
      <w:pPr>
        <w:shd w:fill="F2F2F2" w:val="clear"/>
        <w:spacing w:after="0" w:line="232"/>
      </w:pPr>
      <w:r>
        <w:rPr>
          <w:rFonts w:ascii="Courier New" w:cs="Courier New" w:eastAsia="Courier New" w:hAnsi="Courier New"/>
          <w:sz w:val="16"/>
          <w:szCs w:val="16"/>
        </w:rPr>
        <w:t xml:space="preserve">  --min-count 0 --max-count 10</w:t>
      </w:r>
    </w:p>
    <w:p>
      <w:pPr>
        <w:shd w:fill="F2F2F2" w:val="clear"/>
        <w:spacing w:after="0" w:line="232"/>
      </w:pPr>
      <w:r>
        <w:rPr>
          <w:rFonts w:ascii="Courier New" w:cs="Courier New" w:eastAsia="Courier New" w:hAnsi="Courier New"/>
          <w:sz w:val="16"/>
          <w:szCs w:val="16"/>
        </w:rPr>
        <w:t xml:space="preserve"> </w:t>
      </w:r>
    </w:p>
    <w:p>
      <w:pPr>
        <w:shd w:fill="F2F2F2" w:val="clear"/>
        <w:spacing w:after="0" w:line="232"/>
      </w:pPr>
      <w:r>
        <w:rPr>
          <w:rFonts w:ascii="Courier New" w:cs="Courier New" w:eastAsia="Courier New" w:hAnsi="Courier New"/>
          <w:sz w:val="16"/>
          <w:szCs w:val="16"/>
        </w:rPr>
        <w:t xml:space="preserve">az aks get-credentials -g $RG -n $CLUSTER</w:t>
      </w:r>
    </w:p>
    <w:p>
      <w:pPr>
        <w:spacing w:after="60" w:before="100" w:line="252"/>
        <w:jc w:val="both"/>
      </w:pPr>
      <w:r>
        <w:rPr>
          <w:rFonts w:ascii="Times New Roman" w:cs="Times New Roman" w:eastAsia="Times New Roman" w:hAnsi="Times New Roman"/>
          <w:sz w:val="18"/>
          <w:szCs w:val="18"/>
        </w:rPr>
        <w:t xml:space="preserve">Deploy the NVIDIA device plugin (DaemonSet) so nodes advertise nvidia.com/gpu:</w:t>
      </w:r>
    </w:p>
    <w:p>
      <w:pPr>
        <w:shd w:fill="F2F2F2" w:val="clear"/>
        <w:spacing w:after="0" w:line="232"/>
      </w:pPr>
      <w:r>
        <w:rPr>
          <w:rFonts w:ascii="Courier New" w:cs="Courier New" w:eastAsia="Courier New" w:hAnsi="Courier New"/>
          <w:sz w:val="16"/>
          <w:szCs w:val="16"/>
        </w:rPr>
        <w:t xml:space="preserve">kubectl apply -f https://raw.githubusercontent.com/</w:t>
      </w:r>
    </w:p>
    <w:p>
      <w:pPr>
        <w:shd w:fill="F2F2F2" w:val="clear"/>
        <w:spacing w:after="0" w:line="232"/>
      </w:pPr>
      <w:r>
        <w:rPr>
          <w:rFonts w:ascii="Courier New" w:cs="Courier New" w:eastAsia="Courier New" w:hAnsi="Courier New"/>
          <w:sz w:val="16"/>
          <w:szCs w:val="16"/>
        </w:rPr>
        <w:t xml:space="preserve">  NVIDIA/k8s-device-plugin/&lt;version&gt;/deployments/</w:t>
      </w:r>
    </w:p>
    <w:p>
      <w:pPr>
        <w:shd w:fill="F2F2F2" w:val="clear"/>
        <w:spacing w:after="0" w:line="232"/>
      </w:pPr>
      <w:r>
        <w:rPr>
          <w:rFonts w:ascii="Courier New" w:cs="Courier New" w:eastAsia="Courier New" w:hAnsi="Courier New"/>
          <w:sz w:val="16"/>
          <w:szCs w:val="16"/>
        </w:rPr>
        <w:t xml:space="preserve">  static/nvidia-device-plugin.yml</w:t>
      </w:r>
    </w:p>
    <w:p>
      <w:pPr>
        <w:spacing w:after="80" w:before="140"/>
        <w:jc w:val="left"/>
      </w:pPr>
      <w:r>
        <w:rPr>
          <w:rFonts w:ascii="Times New Roman" w:cs="Times New Roman" w:eastAsia="Times New Roman" w:hAnsi="Times New Roman"/>
          <w:b/>
          <w:bCs/>
          <w:i/>
          <w:iCs/>
          <w:sz w:val="18"/>
          <w:szCs w:val="18"/>
        </w:rPr>
        <w:t xml:space="preserve">B.3 Example GPU Pod Specification</w:t>
      </w:r>
    </w:p>
    <w:p>
      <w:pPr>
        <w:spacing w:after="60" w:before="0" w:line="252"/>
        <w:jc w:val="both"/>
      </w:pPr>
      <w:r>
        <w:rPr>
          <w:rFonts w:ascii="Times New Roman" w:cs="Times New Roman" w:eastAsia="Times New Roman" w:hAnsi="Times New Roman"/>
          <w:sz w:val="18"/>
          <w:szCs w:val="18"/>
        </w:rPr>
        <w:t xml:space="preserve">Corrected, schema-valid manifest (the original planning document's YAML omitted the required nesting under metadata: and spec:, which would fail to parse):</w:t>
      </w:r>
    </w:p>
    <w:p>
      <w:pPr>
        <w:shd w:fill="F2F2F2" w:val="clear"/>
        <w:spacing w:after="0" w:line="232"/>
      </w:pPr>
      <w:r>
        <w:rPr>
          <w:rFonts w:ascii="Courier New" w:cs="Courier New" w:eastAsia="Courier New" w:hAnsi="Courier New"/>
          <w:sz w:val="16"/>
          <w:szCs w:val="16"/>
        </w:rPr>
        <w:t xml:space="preserve">apiVersion: v1</w:t>
      </w:r>
    </w:p>
    <w:p>
      <w:pPr>
        <w:shd w:fill="F2F2F2" w:val="clear"/>
        <w:spacing w:after="0" w:line="232"/>
      </w:pPr>
      <w:r>
        <w:rPr>
          <w:rFonts w:ascii="Courier New" w:cs="Courier New" w:eastAsia="Courier New" w:hAnsi="Courier New"/>
          <w:sz w:val="16"/>
          <w:szCs w:val="16"/>
        </w:rPr>
        <w:t xml:space="preserve">kind: Pod</w:t>
      </w:r>
    </w:p>
    <w:p>
      <w:pPr>
        <w:shd w:fill="F2F2F2" w:val="clear"/>
        <w:spacing w:after="0" w:line="232"/>
      </w:pPr>
      <w:r>
        <w:rPr>
          <w:rFonts w:ascii="Courier New" w:cs="Courier New" w:eastAsia="Courier New" w:hAnsi="Courier New"/>
          <w:sz w:val="16"/>
          <w:szCs w:val="16"/>
        </w:rPr>
        <w:t xml:space="preserve">metadata:</w:t>
      </w:r>
    </w:p>
    <w:p>
      <w:pPr>
        <w:shd w:fill="F2F2F2" w:val="clear"/>
        <w:spacing w:after="0" w:line="232"/>
      </w:pPr>
      <w:r>
        <w:rPr>
          <w:rFonts w:ascii="Courier New" w:cs="Courier New" w:eastAsia="Courier New" w:hAnsi="Courier New"/>
          <w:sz w:val="16"/>
          <w:szCs w:val="16"/>
        </w:rPr>
        <w:t xml:space="preserve">  name: h100-test</w:t>
      </w:r>
    </w:p>
    <w:p>
      <w:pPr>
        <w:shd w:fill="F2F2F2" w:val="clear"/>
        <w:spacing w:after="0" w:line="232"/>
      </w:pPr>
      <w:r>
        <w:rPr>
          <w:rFonts w:ascii="Courier New" w:cs="Courier New" w:eastAsia="Courier New" w:hAnsi="Courier New"/>
          <w:sz w:val="16"/>
          <w:szCs w:val="16"/>
        </w:rPr>
        <w:t xml:space="preserve">spec:</w:t>
      </w:r>
    </w:p>
    <w:p>
      <w:pPr>
        <w:shd w:fill="F2F2F2" w:val="clear"/>
        <w:spacing w:after="0" w:line="232"/>
      </w:pPr>
      <w:r>
        <w:rPr>
          <w:rFonts w:ascii="Courier New" w:cs="Courier New" w:eastAsia="Courier New" w:hAnsi="Courier New"/>
          <w:sz w:val="16"/>
          <w:szCs w:val="16"/>
        </w:rPr>
        <w:t xml:space="preserve">  tolerations:</w:t>
      </w:r>
    </w:p>
    <w:p>
      <w:pPr>
        <w:shd w:fill="F2F2F2" w:val="clear"/>
        <w:spacing w:after="0" w:line="232"/>
      </w:pPr>
      <w:r>
        <w:rPr>
          <w:rFonts w:ascii="Courier New" w:cs="Courier New" w:eastAsia="Courier New" w:hAnsi="Courier New"/>
          <w:sz w:val="16"/>
          <w:szCs w:val="16"/>
        </w:rPr>
        <w:t xml:space="preserve">    - key: "sku"</w:t>
      </w:r>
    </w:p>
    <w:p>
      <w:pPr>
        <w:shd w:fill="F2F2F2" w:val="clear"/>
        <w:spacing w:after="0" w:line="232"/>
      </w:pPr>
      <w:r>
        <w:rPr>
          <w:rFonts w:ascii="Courier New" w:cs="Courier New" w:eastAsia="Courier New" w:hAnsi="Courier New"/>
          <w:sz w:val="16"/>
          <w:szCs w:val="16"/>
        </w:rPr>
        <w:t xml:space="preserve">      operator: "Equal"</w:t>
      </w:r>
    </w:p>
    <w:p>
      <w:pPr>
        <w:shd w:fill="F2F2F2" w:val="clear"/>
        <w:spacing w:after="0" w:line="232"/>
      </w:pPr>
      <w:r>
        <w:rPr>
          <w:rFonts w:ascii="Courier New" w:cs="Courier New" w:eastAsia="Courier New" w:hAnsi="Courier New"/>
          <w:sz w:val="16"/>
          <w:szCs w:val="16"/>
        </w:rPr>
        <w:t xml:space="preserve">      value: "gpu"</w:t>
      </w:r>
    </w:p>
    <w:p>
      <w:pPr>
        <w:shd w:fill="F2F2F2" w:val="clear"/>
        <w:spacing w:after="0" w:line="232"/>
      </w:pPr>
      <w:r>
        <w:rPr>
          <w:rFonts w:ascii="Courier New" w:cs="Courier New" w:eastAsia="Courier New" w:hAnsi="Courier New"/>
          <w:sz w:val="16"/>
          <w:szCs w:val="16"/>
        </w:rPr>
        <w:t xml:space="preserve">      effect: "NoSchedule"</w:t>
      </w:r>
    </w:p>
    <w:p>
      <w:pPr>
        <w:shd w:fill="F2F2F2" w:val="clear"/>
        <w:spacing w:after="0" w:line="232"/>
      </w:pPr>
      <w:r>
        <w:rPr>
          <w:rFonts w:ascii="Courier New" w:cs="Courier New" w:eastAsia="Courier New" w:hAnsi="Courier New"/>
          <w:sz w:val="16"/>
          <w:szCs w:val="16"/>
        </w:rPr>
        <w:t xml:space="preserve">  nodeSelector:</w:t>
      </w:r>
    </w:p>
    <w:p>
      <w:pPr>
        <w:shd w:fill="F2F2F2" w:val="clear"/>
        <w:spacing w:after="0" w:line="232"/>
      </w:pPr>
      <w:r>
        <w:rPr>
          <w:rFonts w:ascii="Courier New" w:cs="Courier New" w:eastAsia="Courier New" w:hAnsi="Courier New"/>
          <w:sz w:val="16"/>
          <w:szCs w:val="16"/>
        </w:rPr>
        <w:t xml:space="preserve">    agentpool: gpuh100</w:t>
      </w:r>
    </w:p>
    <w:p>
      <w:pPr>
        <w:shd w:fill="F2F2F2" w:val="clear"/>
        <w:spacing w:after="0" w:line="232"/>
      </w:pPr>
      <w:r>
        <w:rPr>
          <w:rFonts w:ascii="Courier New" w:cs="Courier New" w:eastAsia="Courier New" w:hAnsi="Courier New"/>
          <w:sz w:val="16"/>
          <w:szCs w:val="16"/>
        </w:rPr>
        <w:t xml:space="preserve">  containers:</w:t>
      </w:r>
    </w:p>
    <w:p>
      <w:pPr>
        <w:shd w:fill="F2F2F2" w:val="clear"/>
        <w:spacing w:after="0" w:line="232"/>
      </w:pPr>
      <w:r>
        <w:rPr>
          <w:rFonts w:ascii="Courier New" w:cs="Courier New" w:eastAsia="Courier New" w:hAnsi="Courier New"/>
          <w:sz w:val="16"/>
          <w:szCs w:val="16"/>
        </w:rPr>
        <w:t xml:space="preserve">    - name: trainer</w:t>
      </w:r>
    </w:p>
    <w:p>
      <w:pPr>
        <w:shd w:fill="F2F2F2" w:val="clear"/>
        <w:spacing w:after="0" w:line="232"/>
      </w:pPr>
      <w:r>
        <w:rPr>
          <w:rFonts w:ascii="Courier New" w:cs="Courier New" w:eastAsia="Courier New" w:hAnsi="Courier New"/>
          <w:sz w:val="16"/>
          <w:szCs w:val="16"/>
        </w:rPr>
        <w:t xml:space="preserve">      image: nvcr.io/nvidia/pytorch:24.08-py3</w:t>
      </w:r>
    </w:p>
    <w:p>
      <w:pPr>
        <w:shd w:fill="F2F2F2" w:val="clear"/>
        <w:spacing w:after="0" w:line="232"/>
      </w:pPr>
      <w:r>
        <w:rPr>
          <w:rFonts w:ascii="Courier New" w:cs="Courier New" w:eastAsia="Courier New" w:hAnsi="Courier New"/>
          <w:sz w:val="16"/>
          <w:szCs w:val="16"/>
        </w:rPr>
        <w:t xml:space="preserve">      resources:</w:t>
      </w:r>
    </w:p>
    <w:p>
      <w:pPr>
        <w:shd w:fill="F2F2F2" w:val="clear"/>
        <w:spacing w:after="0" w:line="232"/>
      </w:pPr>
      <w:r>
        <w:rPr>
          <w:rFonts w:ascii="Courier New" w:cs="Courier New" w:eastAsia="Courier New" w:hAnsi="Courier New"/>
          <w:sz w:val="16"/>
          <w:szCs w:val="16"/>
        </w:rPr>
        <w:t xml:space="preserve">        limits:</w:t>
      </w:r>
    </w:p>
    <w:p>
      <w:pPr>
        <w:shd w:fill="F2F2F2" w:val="clear"/>
        <w:spacing w:after="0" w:line="232"/>
      </w:pPr>
      <w:r>
        <w:rPr>
          <w:rFonts w:ascii="Courier New" w:cs="Courier New" w:eastAsia="Courier New" w:hAnsi="Courier New"/>
          <w:sz w:val="16"/>
          <w:szCs w:val="16"/>
        </w:rPr>
        <w:t xml:space="preserve">          nvidia.com/gpu: 8</w:t>
      </w:r>
    </w:p>
    <w:p>
      <w:pPr>
        <w:shd w:fill="F2F2F2" w:val="clear"/>
        <w:spacing w:after="0" w:line="232"/>
      </w:pPr>
      <w:r>
        <w:rPr>
          <w:rFonts w:ascii="Courier New" w:cs="Courier New" w:eastAsia="Courier New" w:hAnsi="Courier New"/>
          <w:sz w:val="16"/>
          <w:szCs w:val="16"/>
        </w:rPr>
        <w:t xml:space="preserve">      volumeMounts:</w:t>
      </w:r>
    </w:p>
    <w:p>
      <w:pPr>
        <w:shd w:fill="F2F2F2" w:val="clear"/>
        <w:spacing w:after="0" w:line="232"/>
      </w:pPr>
      <w:r>
        <w:rPr>
          <w:rFonts w:ascii="Courier New" w:cs="Courier New" w:eastAsia="Courier New" w:hAnsi="Courier New"/>
          <w:sz w:val="16"/>
          <w:szCs w:val="16"/>
        </w:rPr>
        <w:t xml:space="preserve">        - name: scratch</w:t>
      </w:r>
    </w:p>
    <w:p>
      <w:pPr>
        <w:shd w:fill="F2F2F2" w:val="clear"/>
        <w:spacing w:after="0" w:line="232"/>
      </w:pPr>
      <w:r>
        <w:rPr>
          <w:rFonts w:ascii="Courier New" w:cs="Courier New" w:eastAsia="Courier New" w:hAnsi="Courier New"/>
          <w:sz w:val="16"/>
          <w:szCs w:val="16"/>
        </w:rPr>
        <w:t xml:space="preserve">          mountPath: /scratch</w:t>
      </w:r>
    </w:p>
    <w:p>
      <w:pPr>
        <w:shd w:fill="F2F2F2" w:val="clear"/>
        <w:spacing w:after="0" w:line="232"/>
      </w:pPr>
      <w:r>
        <w:rPr>
          <w:rFonts w:ascii="Courier New" w:cs="Courier New" w:eastAsia="Courier New" w:hAnsi="Courier New"/>
          <w:sz w:val="16"/>
          <w:szCs w:val="16"/>
        </w:rPr>
        <w:t xml:space="preserve">  volumes:</w:t>
      </w:r>
    </w:p>
    <w:p>
      <w:pPr>
        <w:shd w:fill="F2F2F2" w:val="clear"/>
        <w:spacing w:after="0" w:line="232"/>
      </w:pPr>
      <w:r>
        <w:rPr>
          <w:rFonts w:ascii="Courier New" w:cs="Courier New" w:eastAsia="Courier New" w:hAnsi="Courier New"/>
          <w:sz w:val="16"/>
          <w:szCs w:val="16"/>
        </w:rPr>
        <w:t xml:space="preserve">    - name: scratch</w:t>
      </w:r>
    </w:p>
    <w:p>
      <w:pPr>
        <w:shd w:fill="F2F2F2" w:val="clear"/>
        <w:spacing w:after="0" w:line="232"/>
      </w:pPr>
      <w:r>
        <w:rPr>
          <w:rFonts w:ascii="Courier New" w:cs="Courier New" w:eastAsia="Courier New" w:hAnsi="Courier New"/>
          <w:sz w:val="16"/>
          <w:szCs w:val="16"/>
        </w:rPr>
        <w:t xml:space="preserve">      emptyDir:</w:t>
      </w:r>
    </w:p>
    <w:p>
      <w:pPr>
        <w:shd w:fill="F2F2F2" w:val="clear"/>
        <w:spacing w:after="0" w:line="232"/>
      </w:pPr>
      <w:r>
        <w:rPr>
          <w:rFonts w:ascii="Courier New" w:cs="Courier New" w:eastAsia="Courier New" w:hAnsi="Courier New"/>
          <w:sz w:val="16"/>
          <w:szCs w:val="16"/>
        </w:rPr>
        <w:t xml:space="preserve">        medium: ""</w:t>
      </w:r>
    </w:p>
    <w:p>
      <w:pPr>
        <w:spacing w:after="60" w:before="100" w:line="252"/>
        <w:jc w:val="both"/>
      </w:pPr>
      <w:r>
        <w:rPr>
          <w:rFonts w:ascii="Times New Roman" w:cs="Times New Roman" w:eastAsia="Times New Roman" w:hAnsi="Times New Roman"/>
          <w:sz w:val="18"/>
          <w:szCs w:val="18"/>
        </w:rPr>
        <w:t xml:space="preserve">Verification:</w:t>
      </w:r>
    </w:p>
    <w:p>
      <w:pPr>
        <w:shd w:fill="F2F2F2" w:val="clear"/>
        <w:spacing w:after="0" w:line="232"/>
      </w:pPr>
      <w:r>
        <w:rPr>
          <w:rFonts w:ascii="Courier New" w:cs="Courier New" w:eastAsia="Courier New" w:hAnsi="Courier New"/>
          <w:sz w:val="16"/>
          <w:szCs w:val="16"/>
        </w:rPr>
        <w:t xml:space="preserve">kubectl get nodes -o wide</w:t>
      </w:r>
    </w:p>
    <w:p>
      <w:pPr>
        <w:shd w:fill="F2F2F2" w:val="clear"/>
        <w:spacing w:after="0" w:line="232"/>
      </w:pPr>
      <w:r>
        <w:rPr>
          <w:rFonts w:ascii="Courier New" w:cs="Courier New" w:eastAsia="Courier New" w:hAnsi="Courier New"/>
          <w:sz w:val="16"/>
          <w:szCs w:val="16"/>
        </w:rPr>
        <w:t xml:space="preserve">kubectl describe node &lt;gpu-node&gt; | grep -i -E \</w:t>
      </w:r>
    </w:p>
    <w:p>
      <w:pPr>
        <w:shd w:fill="F2F2F2" w:val="clear"/>
        <w:spacing w:after="0" w:line="232"/>
      </w:pPr>
      <w:r>
        <w:rPr>
          <w:rFonts w:ascii="Courier New" w:cs="Courier New" w:eastAsia="Courier New" w:hAnsi="Courier New"/>
          <w:sz w:val="16"/>
          <w:szCs w:val="16"/>
        </w:rPr>
        <w:t xml:space="preserve">  "nvidia.com/gpu|Capacity|Allocatable"</w:t>
      </w:r>
    </w:p>
    <w:p>
      <w:pPr>
        <w:shd w:fill="F2F2F2" w:val="clear"/>
        <w:spacing w:after="0" w:line="232"/>
      </w:pPr>
      <w:r>
        <w:rPr>
          <w:rFonts w:ascii="Courier New" w:cs="Courier New" w:eastAsia="Courier New" w:hAnsi="Courier New"/>
          <w:sz w:val="16"/>
          <w:szCs w:val="16"/>
        </w:rPr>
        <w:t xml:space="preserve">kubectl exec -it h100-test -- nvidia-smi</w:t>
      </w:r>
    </w:p>
    <w:p>
      <w:pPr>
        <w:sectPr>
          <w:type w:val="continuous"/>
          <w:pgSz w:w="12240" w:h="15840" w:orient="portrait"/>
          <w:pgMar w:top="720" w:right="720" w:bottom="720" w:left="720" w:header="708" w:footer="708" w:gutter="0"/>
          <w:pgNumType/>
          <w:cols w:num="1"/>
          <w:docGrid w:linePitch="360"/>
        </w:sectPr>
      </w:pPr>
    </w:p>
    <w:p>
      <w:pPr>
        <w:spacing w:after="80" w:before="140"/>
        <w:jc w:val="left"/>
      </w:pPr>
      <w:r>
        <w:rPr>
          <w:rFonts w:ascii="Times New Roman" w:cs="Times New Roman" w:eastAsia="Times New Roman" w:hAnsi="Times New Roman"/>
          <w:b/>
          <w:bCs/>
          <w:i/>
          <w:iCs/>
          <w:sz w:val="18"/>
          <w:szCs w:val="18"/>
        </w:rPr>
        <w:t xml:space="preserve">B.4 Operational Checklist</w:t>
      </w:r>
    </w:p>
    <w:p>
      <w:pPr>
        <w:spacing w:after="60" w:line="252"/>
        <w:ind w:left="259" w:hanging="201"/>
        <w:jc w:val="both"/>
      </w:pPr>
      <w:r>
        <w:rPr>
          <w:rFonts w:ascii="Times New Roman" w:cs="Times New Roman" w:eastAsia="Times New Roman" w:hAnsi="Times New Roman"/>
          <w:sz w:val="18"/>
          <w:szCs w:val="18"/>
        </w:rPr>
        <w:t xml:space="preserve">•  AKS version is supported by the GPU device-plugin version deployed.</w:t>
      </w:r>
    </w:p>
    <w:p>
      <w:pPr>
        <w:spacing w:after="60" w:line="252"/>
        <w:ind w:left="259" w:hanging="201"/>
        <w:jc w:val="both"/>
      </w:pPr>
      <w:r>
        <w:rPr>
          <w:rFonts w:ascii="Times New Roman" w:cs="Times New Roman" w:eastAsia="Times New Roman" w:hAnsi="Times New Roman"/>
          <w:sz w:val="18"/>
          <w:szCs w:val="18"/>
        </w:rPr>
        <w:t xml:space="preserve">•  Azure CNI Overlay configured with a pod CIDR that does not overlap the VNet or peered networks.</w:t>
      </w:r>
    </w:p>
    <w:p>
      <w:pPr>
        <w:spacing w:after="60" w:line="252"/>
        <w:ind w:left="259" w:hanging="201"/>
        <w:jc w:val="both"/>
      </w:pPr>
      <w:r>
        <w:rPr>
          <w:rFonts w:ascii="Times New Roman" w:cs="Times New Roman" w:eastAsia="Times New Roman" w:hAnsi="Times New Roman"/>
          <w:sz w:val="18"/>
          <w:szCs w:val="18"/>
        </w:rPr>
        <w:t xml:space="preserve">•  System and GPU node pools are isolated; GPU pools carry taints and workloads carry matching tolerations.</w:t>
      </w:r>
    </w:p>
    <w:p>
      <w:pPr>
        <w:spacing w:after="60" w:line="252"/>
        <w:ind w:left="259" w:hanging="201"/>
        <w:jc w:val="both"/>
      </w:pPr>
      <w:r>
        <w:rPr>
          <w:rFonts w:ascii="Times New Roman" w:cs="Times New Roman" w:eastAsia="Times New Roman" w:hAnsi="Times New Roman"/>
          <w:sz w:val="18"/>
          <w:szCs w:val="18"/>
        </w:rPr>
        <w:t xml:space="preserve">•  Cluster autoscaler is tuned; pod disruption budgets, readiness/liveness probes, and --max-surge are set for safe rolling upgrades.</w:t>
      </w:r>
    </w:p>
    <w:p>
      <w:pPr>
        <w:spacing w:after="60" w:line="252"/>
        <w:ind w:left="259" w:hanging="201"/>
        <w:jc w:val="both"/>
      </w:pPr>
      <w:r>
        <w:rPr>
          <w:rFonts w:ascii="Times New Roman" w:cs="Times New Roman" w:eastAsia="Times New Roman" w:hAnsi="Times New Roman"/>
          <w:sz w:val="18"/>
          <w:szCs w:val="18"/>
        </w:rPr>
        <w:t xml:space="preserve">•  Ephemeral local NVMe is mounted for cache/scratch; checkpoints are persisted to durable storage before any node is recycled.</w:t>
      </w:r>
    </w:p>
    <w:p>
      <w:pPr>
        <w:spacing w:after="120" w:before="220"/>
        <w:jc w:val="center"/>
      </w:pPr>
      <w:r>
        <w:rPr>
          <w:rFonts w:ascii="Times New Roman" w:cs="Times New Roman" w:eastAsia="Times New Roman" w:hAnsi="Times New Roman"/>
          <w:b/>
          <w:bCs/>
          <w:sz w:val="19"/>
          <w:szCs w:val="19"/>
        </w:rPr>
        <w:t xml:space="preserve">Appendix C. Storage: GPU Requirement Analysis</w:t>
      </w:r>
    </w:p>
    <w:p>
      <w:pPr>
        <w:spacing w:after="100" w:before="0" w:line="252"/>
        <w:jc w:val="both"/>
      </w:pPr>
      <w:r>
        <w:rPr>
          <w:rFonts w:ascii="Times New Roman" w:cs="Times New Roman" w:eastAsia="Times New Roman" w:hAnsi="Times New Roman"/>
          <w:sz w:val="18"/>
          <w:szCs w:val="18"/>
        </w:rPr>
        <w:t xml:space="preserve">AI training workloads on AKS are highly data-intensive and require low-latency access to large, frequently re-read datasets, so storage planning is treated as a distinct design activity rather than a default choice.</w:t>
      </w:r>
    </w:p>
    <w:p>
      <w:pPr>
        <w:spacing w:after="80" w:before="140"/>
        <w:jc w:val="left"/>
      </w:pPr>
      <w:r>
        <w:rPr>
          <w:rFonts w:ascii="Times New Roman" w:cs="Times New Roman" w:eastAsia="Times New Roman" w:hAnsi="Times New Roman"/>
          <w:b/>
          <w:bCs/>
          <w:i/>
          <w:iCs/>
          <w:sz w:val="18"/>
          <w:szCs w:val="18"/>
        </w:rPr>
        <w:t xml:space="preserve">C.1 Recommended Architecture</w:t>
      </w:r>
    </w:p>
    <w:p>
      <w:pPr>
        <w:spacing w:after="60" w:line="252"/>
        <w:ind w:left="259" w:hanging="201"/>
        <w:jc w:val="both"/>
      </w:pPr>
      <w:r>
        <w:rPr>
          <w:rFonts w:ascii="Times New Roman" w:cs="Times New Roman" w:eastAsia="Times New Roman" w:hAnsi="Times New Roman"/>
          <w:sz w:val="18"/>
          <w:szCs w:val="18"/>
        </w:rPr>
        <w:t xml:space="preserve">•  Node OS disks: Premium SSD (512 GiB or larger) for each GPU node.</w:t>
      </w:r>
    </w:p>
    <w:p>
      <w:pPr>
        <w:spacing w:after="60" w:line="252"/>
        <w:ind w:left="259" w:hanging="201"/>
        <w:jc w:val="both"/>
      </w:pPr>
      <w:r>
        <w:rPr>
          <w:rFonts w:ascii="Times New Roman" w:cs="Times New Roman" w:eastAsia="Times New Roman" w:hAnsi="Times New Roman"/>
          <w:sz w:val="18"/>
          <w:szCs w:val="18"/>
        </w:rPr>
        <w:t xml:space="preserve">•  Training data: Azure Files Premium or Azure NetApp Files, mounted via the corresponding CSI driver, for ReadWriteMany access across all nodes in a training job.</w:t>
      </w:r>
    </w:p>
    <w:p>
      <w:pPr>
        <w:spacing w:after="60" w:line="252"/>
        <w:ind w:left="259" w:hanging="201"/>
        <w:jc w:val="both"/>
      </w:pPr>
      <w:r>
        <w:rPr>
          <w:rFonts w:ascii="Times New Roman" w:cs="Times New Roman" w:eastAsia="Times New Roman" w:hAnsi="Times New Roman"/>
          <w:sz w:val="18"/>
          <w:szCs w:val="18"/>
        </w:rPr>
        <w:t xml:space="preserve">•  Model checkpoints: Azure Blob Storage for cost-effective, durable archival separate from the hot training-data tier.</w:t>
      </w:r>
    </w:p>
    <w:p>
      <w:pPr>
        <w:spacing w:after="60" w:line="252"/>
        <w:ind w:left="259" w:hanging="201"/>
        <w:jc w:val="both"/>
      </w:pPr>
      <w:r>
        <w:rPr>
          <w:rFonts w:ascii="Times New Roman" w:cs="Times New Roman" w:eastAsia="Times New Roman" w:hAnsi="Times New Roman"/>
          <w:sz w:val="18"/>
          <w:szCs w:val="18"/>
        </w:rPr>
        <w:t xml:space="preserve">•  Ephemeral storage: node-local ephemeral OS disks for faster pod start-up where the VM SKU supports it.</w:t>
      </w:r>
    </w:p>
    <w:p>
      <w:pPr>
        <w:spacing w:after="80" w:before="140"/>
        <w:jc w:val="left"/>
      </w:pPr>
      <w:r>
        <w:rPr>
          <w:rFonts w:ascii="Times New Roman" w:cs="Times New Roman" w:eastAsia="Times New Roman" w:hAnsi="Times New Roman"/>
          <w:b/>
          <w:bCs/>
          <w:i/>
          <w:iCs/>
          <w:sz w:val="18"/>
          <w:szCs w:val="18"/>
        </w:rPr>
        <w:t xml:space="preserve">C.2 Performance Recommendations</w:t>
      </w:r>
    </w:p>
    <w:p>
      <w:pPr>
        <w:spacing w:after="60" w:line="252"/>
        <w:ind w:left="259" w:hanging="201"/>
        <w:jc w:val="both"/>
      </w:pPr>
      <w:r>
        <w:rPr>
          <w:rFonts w:ascii="Times New Roman" w:cs="Times New Roman" w:eastAsia="Times New Roman" w:hAnsi="Times New Roman"/>
          <w:sz w:val="18"/>
          <w:szCs w:val="18"/>
        </w:rPr>
        <w:t xml:space="preserve">•  Co-locate storage resources in the same Azure region as the AKS cluster to minimize latency.</w:t>
      </w:r>
    </w:p>
    <w:p>
      <w:pPr>
        <w:spacing w:after="60" w:line="252"/>
        <w:ind w:left="259" w:hanging="201"/>
        <w:jc w:val="both"/>
      </w:pPr>
      <w:r>
        <w:rPr>
          <w:rFonts w:ascii="Times New Roman" w:cs="Times New Roman" w:eastAsia="Times New Roman" w:hAnsi="Times New Roman"/>
          <w:sz w:val="18"/>
          <w:szCs w:val="18"/>
        </w:rPr>
        <w:t xml:space="preserve">•  Enable accelerated networking on GPU nodes to reduce storage-access latency contention with training traffic.</w:t>
      </w:r>
    </w:p>
    <w:p>
      <w:pPr>
        <w:spacing w:after="60" w:line="252"/>
        <w:ind w:left="259" w:hanging="201"/>
        <w:jc w:val="both"/>
      </w:pPr>
      <w:r>
        <w:rPr>
          <w:rFonts w:ascii="Times New Roman" w:cs="Times New Roman" w:eastAsia="Times New Roman" w:hAnsi="Times New Roman"/>
          <w:sz w:val="18"/>
          <w:szCs w:val="18"/>
        </w:rPr>
        <w:t xml:space="preserve">•  For multi-node distributed training, ensure InfiniBand or equivalent high-bandwidth networking is available for inter-node data and checkpoint transfer, not only for gradient synchronization.</w:t>
      </w:r>
    </w:p>
    <w:p>
      <w:pPr>
        <w:spacing w:after="80" w:before="140"/>
        <w:jc w:val="left"/>
      </w:pPr>
      <w:r>
        <w:rPr>
          <w:rFonts w:ascii="Times New Roman" w:cs="Times New Roman" w:eastAsia="Times New Roman" w:hAnsi="Times New Roman"/>
          <w:b/>
          <w:bCs/>
          <w:i/>
          <w:iCs/>
          <w:sz w:val="18"/>
          <w:szCs w:val="18"/>
        </w:rPr>
        <w:t xml:space="preserve">C.3 Summary Recommendation</w:t>
      </w:r>
    </w:p>
    <w:p>
      <w:pPr>
        <w:spacing w:after="60" w:line="252"/>
        <w:ind w:left="259" w:hanging="201"/>
        <w:jc w:val="both"/>
      </w:pPr>
      <w:r>
        <w:rPr>
          <w:rFonts w:ascii="Times New Roman" w:cs="Times New Roman" w:eastAsia="Times New Roman" w:hAnsi="Times New Roman"/>
          <w:sz w:val="18"/>
          <w:szCs w:val="18"/>
        </w:rPr>
        <w:t xml:space="preserve">•  Single-node training: Premium SSD Managed Disk is generally sufficient.</w:t>
      </w:r>
    </w:p>
    <w:p>
      <w:pPr>
        <w:spacing w:after="60" w:line="252"/>
        <w:ind w:left="259" w:hanging="201"/>
        <w:jc w:val="both"/>
      </w:pPr>
      <w:r>
        <w:rPr>
          <w:rFonts w:ascii="Times New Roman" w:cs="Times New Roman" w:eastAsia="Times New Roman" w:hAnsi="Times New Roman"/>
          <w:sz w:val="18"/>
          <w:szCs w:val="18"/>
        </w:rPr>
        <w:t xml:space="preserve">•  Multi-node distributed training: Azure NetApp Files or Azure Files Premium for shared, concurrently accessed datasets.</w:t>
      </w:r>
    </w:p>
    <w:p>
      <w:pPr>
        <w:spacing w:after="60" w:line="252"/>
        <w:ind w:left="259" w:hanging="201"/>
        <w:jc w:val="both"/>
      </w:pPr>
      <w:r>
        <w:rPr>
          <w:rFonts w:ascii="Times New Roman" w:cs="Times New Roman" w:eastAsia="Times New Roman" w:hAnsi="Times New Roman"/>
          <w:sz w:val="18"/>
          <w:szCs w:val="18"/>
        </w:rPr>
        <w:t xml:space="preserve">•  Archival and checkpoints: Azure Blob Storage in all cases, regardless of the hot-tier choice above.</w:t>
      </w:r>
    </w:p>
    <w:p>
      <w:pPr>
        <w:sectPr>
          <w:type w:val="continuous"/>
          <w:pgSz w:w="12240" w:h="15840" w:orient="portrait"/>
          <w:pgMar w:top="720" w:right="720" w:bottom="720" w:left="720" w:header="708" w:footer="708" w:gutter="0"/>
          <w:pgNumType/>
          <w:cols w:space="288" w:num="2"/>
          <w:docGrid w:linePitch="360"/>
        </w:sectPr>
      </w:pPr>
    </w:p>
    <w:p>
      <w:pPr>
        <w:spacing w:after="120" w:before="220"/>
        <w:jc w:val="center"/>
      </w:pPr>
      <w:r>
        <w:rPr>
          <w:rFonts w:ascii="Times New Roman" w:cs="Times New Roman" w:eastAsia="Times New Roman" w:hAnsi="Times New Roman"/>
          <w:b/>
          <w:bCs/>
          <w:sz w:val="19"/>
          <w:szCs w:val="19"/>
        </w:rPr>
        <w:t xml:space="preserve">Glossary</w:t>
      </w:r>
    </w:p>
    <w:p>
      <w:pPr>
        <w:spacing w:after="40" w:before="0" w:line="252"/>
        <w:jc w:val="both"/>
      </w:pPr>
      <w:r>
        <w:rPr>
          <w:rFonts w:ascii="Times New Roman" w:cs="Times New Roman" w:eastAsia="Times New Roman" w:hAnsi="Times New Roman"/>
          <w:sz w:val="18"/>
          <w:szCs w:val="18"/>
        </w:rPr>
        <w:t xml:space="preserve">SDN — Software Defined Network.</w:t>
      </w:r>
    </w:p>
    <w:p>
      <w:pPr>
        <w:spacing w:after="40" w:before="0" w:line="252"/>
        <w:jc w:val="both"/>
      </w:pPr>
      <w:r>
        <w:rPr>
          <w:rFonts w:ascii="Times New Roman" w:cs="Times New Roman" w:eastAsia="Times New Roman" w:hAnsi="Times New Roman"/>
          <w:sz w:val="18"/>
          <w:szCs w:val="18"/>
        </w:rPr>
        <w:t xml:space="preserve">SLB — Software Load Balancer.</w:t>
      </w:r>
    </w:p>
    <w:p>
      <w:pPr>
        <w:spacing w:after="40" w:before="0" w:line="252"/>
        <w:jc w:val="both"/>
      </w:pPr>
      <w:r>
        <w:rPr>
          <w:rFonts w:ascii="Times New Roman" w:cs="Times New Roman" w:eastAsia="Times New Roman" w:hAnsi="Times New Roman"/>
          <w:sz w:val="18"/>
          <w:szCs w:val="18"/>
        </w:rPr>
        <w:t xml:space="preserve">MSEE — Microsoft Enterprise Edge.</w:t>
      </w:r>
    </w:p>
    <w:p>
      <w:pPr>
        <w:spacing w:after="40" w:before="0" w:line="252"/>
        <w:jc w:val="both"/>
      </w:pPr>
      <w:r>
        <w:rPr>
          <w:rFonts w:ascii="Times New Roman" w:cs="Times New Roman" w:eastAsia="Times New Roman" w:hAnsi="Times New Roman"/>
          <w:sz w:val="18"/>
          <w:szCs w:val="18"/>
        </w:rPr>
        <w:t xml:space="preserve">SNAT — Source Network Address Translation.</w:t>
      </w:r>
    </w:p>
    <w:p>
      <w:pPr>
        <w:spacing w:after="40" w:before="0" w:line="252"/>
        <w:jc w:val="both"/>
      </w:pPr>
      <w:r>
        <w:rPr>
          <w:rFonts w:ascii="Times New Roman" w:cs="Times New Roman" w:eastAsia="Times New Roman" w:hAnsi="Times New Roman"/>
          <w:sz w:val="18"/>
          <w:szCs w:val="18"/>
        </w:rPr>
        <w:t xml:space="preserve">NVA — Network Virtual Appliance; also encountered as Azure Virtual Network Manager (AVNM) in Azure-native designs.</w:t>
      </w:r>
    </w:p>
    <w:p>
      <w:pPr>
        <w:spacing w:after="160" w:before="0" w:line="252"/>
        <w:jc w:val="both"/>
      </w:pPr>
      <w:r>
        <w:rPr>
          <w:rFonts w:ascii="Times New Roman" w:cs="Times New Roman" w:eastAsia="Times New Roman" w:hAnsi="Times New Roman"/>
          <w:sz w:val="18"/>
          <w:szCs w:val="18"/>
        </w:rPr>
        <w:t xml:space="preserve">NCCL — NVIDIA Collective Communications Library; implements multi-GPU and multi-node communication primitives optimized for NVIDIA GPUs and networking.</w:t>
      </w:r>
    </w:p>
    <w:p>
      <w:pPr>
        <w:spacing w:after="120" w:before="220"/>
        <w:jc w:val="center"/>
      </w:pPr>
      <w:r>
        <w:rPr>
          <w:rFonts w:ascii="Times New Roman" w:cs="Times New Roman" w:eastAsia="Times New Roman" w:hAnsi="Times New Roman"/>
          <w:b/>
          <w:bCs/>
          <w:sz w:val="19"/>
          <w:szCs w:val="19"/>
        </w:rPr>
        <w:t xml:space="preserve">References</w:t>
      </w:r>
    </w:p>
    <w:p>
      <w:pPr>
        <w:spacing w:after="60" w:before="0" w:line="252"/>
        <w:jc w:val="both"/>
      </w:pPr>
      <w:r>
        <w:rPr>
          <w:rFonts w:ascii="Times New Roman" w:cs="Times New Roman" w:eastAsia="Times New Roman" w:hAnsi="Times New Roman"/>
          <w:sz w:val="18"/>
          <w:szCs w:val="18"/>
        </w:rPr>
        <w:t xml:space="preserve">[1] NVIDIA Corporation, “NVIDIA H100 Tensor Core GPU architecture,” NVIDIA corporate whitepaper, 2022.</w:t>
      </w:r>
    </w:p>
    <w:p>
      <w:pPr>
        <w:spacing w:after="60" w:before="0" w:line="252"/>
        <w:jc w:val="both"/>
      </w:pPr>
      <w:r>
        <w:rPr>
          <w:rFonts w:ascii="Times New Roman" w:cs="Times New Roman" w:eastAsia="Times New Roman" w:hAnsi="Times New Roman"/>
          <w:sz w:val="18"/>
          <w:szCs w:val="18"/>
        </w:rPr>
        <w:t xml:space="preserve">[2] NVIDIA Corporation, “NCCL: NVIDIA Collective Communications Library documentation,” NVIDIA Developer Documentation, 2024.</w:t>
      </w:r>
    </w:p>
    <w:p>
      <w:pPr>
        <w:spacing w:after="60" w:before="0" w:line="252"/>
        <w:jc w:val="both"/>
      </w:pPr>
      <w:r>
        <w:rPr>
          <w:rFonts w:ascii="Times New Roman" w:cs="Times New Roman" w:eastAsia="Times New Roman" w:hAnsi="Times New Roman"/>
          <w:sz w:val="18"/>
          <w:szCs w:val="18"/>
        </w:rPr>
        <w:t xml:space="preserve">[3] Microsoft Corporation, “ND H100 v5 series,” Azure Virtual Machines documentation, Microsoft Learn, 2024.</w:t>
      </w:r>
    </w:p>
    <w:p>
      <w:pPr>
        <w:spacing w:after="60" w:before="0" w:line="252"/>
        <w:jc w:val="both"/>
      </w:pPr>
      <w:r>
        <w:rPr>
          <w:rFonts w:ascii="Times New Roman" w:cs="Times New Roman" w:eastAsia="Times New Roman" w:hAnsi="Times New Roman"/>
          <w:sz w:val="18"/>
          <w:szCs w:val="18"/>
        </w:rPr>
        <w:t xml:space="preserve">[4] Microsoft Corporation, “Use GPUs on Azure Kubernetes Service (AKS),” Microsoft Learn, 2024.</w:t>
      </w:r>
    </w:p>
    <w:p>
      <w:pPr>
        <w:spacing w:after="60" w:before="0" w:line="252"/>
        <w:jc w:val="both"/>
      </w:pPr>
      <w:r>
        <w:rPr>
          <w:rFonts w:ascii="Times New Roman" w:cs="Times New Roman" w:eastAsia="Times New Roman" w:hAnsi="Times New Roman"/>
          <w:sz w:val="18"/>
          <w:szCs w:val="18"/>
        </w:rPr>
        <w:t xml:space="preserve">[5] Microsoft Corporation, “Baseline architecture for an AKS cluster,” Microsoft Learn, 2024.</w:t>
      </w:r>
    </w:p>
    <w:p>
      <w:pPr>
        <w:spacing w:after="60" w:before="0" w:line="252"/>
        <w:jc w:val="both"/>
      </w:pPr>
      <w:r>
        <w:rPr>
          <w:rFonts w:ascii="Times New Roman" w:cs="Times New Roman" w:eastAsia="Times New Roman" w:hAnsi="Times New Roman"/>
          <w:sz w:val="18"/>
          <w:szCs w:val="18"/>
        </w:rPr>
        <w:t xml:space="preserve">[6] InfiniBand Trade Association, “InfiniBand architecture specification,” release 1.5, 2023.</w:t>
      </w:r>
    </w:p>
    <w:p>
      <w:pPr>
        <w:spacing w:after="60" w:before="0" w:line="252"/>
        <w:jc w:val="both"/>
      </w:pPr>
      <w:r>
        <w:rPr>
          <w:rFonts w:ascii="Times New Roman" w:cs="Times New Roman" w:eastAsia="Times New Roman" w:hAnsi="Times New Roman"/>
          <w:sz w:val="18"/>
          <w:szCs w:val="18"/>
        </w:rPr>
        <w:t xml:space="preserve">[7] J. Kaplan, S. McCandlish, T. Henighan, T. B. Brown, B. Chess, R. Child, S. Gray, A. Radford, J. Wu, and D. Amodei, “Scaling laws for neural language models,” arXiv:2001.08361, 2020.</w:t>
      </w:r>
    </w:p>
    <w:sectPr>
      <w:type w:val="continuous"/>
      <w:pgSz w:w="12240" w:h="15840" w:orient="portrait"/>
      <w:pgMar w:top="720" w:right="720" w:bottom="720" w:left="72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f1e20f1b9767307a654d57512c4770e7a28b82.png"/><Relationship Id="rId8" Type="http://schemas.openxmlformats.org/officeDocument/2006/relationships/image" Target="media/ad4fd82e5c2f7d642f9e4bad583a47604cdc78aa.png"/><Relationship Id="rId9" Type="http://schemas.openxmlformats.org/officeDocument/2006/relationships/image" Target="media/7e049e9a7df605644258f5c06852de38a86b2997.png"/><Relationship Id="rId10" Type="http://schemas.openxmlformats.org/officeDocument/2006/relationships/image" Target="media/4587530d616c64275692561d4eacd0b81e55c035.png"/><Relationship Id="rId11" Type="http://schemas.openxmlformats.org/officeDocument/2006/relationships/image" Target="media/cde618792bfd82f89f1ae7aaae6efd1b2ae444f4.png"/><Relationship Id="rId12" Type="http://schemas.openxmlformats.org/officeDocument/2006/relationships/image" Target="media/acabaa6693164ea3671aedf7048e814510946d2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2026-08-20T11:47:46.734Z</dcterms:created>
  <dcterms:modified xsi:type="dcterms:W3CDTF">2026-08-20T11:47:46.748Z</dcterms:modified>
</cp:coreProperties>
</file>

<file path=docProps/custom.xml><?xml version="1.0" encoding="utf-8"?>
<Properties xmlns="http://schemas.openxmlformats.org/officeDocument/2006/custom-properties" xmlns:vt="http://schemas.openxmlformats.org/officeDocument/2006/docPropsVTypes"/>
</file>