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Accessing user tickets in Zendesk</w:t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bookmarkStart w:colFirst="0" w:colLast="0" w:name="_rn1w2m8521yk" w:id="1"/>
      <w:bookmarkEnd w:id="1"/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Zendesk instance now allows end users to access a portal in which all of their tickets are available for view, and interaction. This is especially useful for end users that juggle multiple issues at a time with Applitools support.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tyfy86buz3ed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https://help.applitools.com/hc/en-us</w:t>
        </w:r>
      </w:hyperlink>
      <w:r w:rsidDel="00000000" w:rsidR="00000000" w:rsidRPr="00000000">
        <w:rPr>
          <w:rtl w:val="0"/>
        </w:rPr>
        <w:t xml:space="preserve"> and click Sign in in the top right hand corner.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are an existing user, you will have to create a password to associate with your email. Click “Forgot password?”. </w:t>
        <w:br w:type="textWrapping"/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your email in the “Email *” field, and click Submit. </w:t>
        <w:br w:type="textWrapping"/>
      </w:r>
      <w:r w:rsidDel="00000000" w:rsidR="00000000" w:rsidRPr="00000000">
        <w:rPr/>
        <w:drawing>
          <wp:inline distB="114300" distT="114300" distL="114300" distR="114300">
            <wp:extent cx="4514850" cy="472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the instructions in the email you receive. Click “Set a new password”.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your desired password in the “New password field”, and click “Change password”. </w:t>
        <w:br w:type="textWrapping"/>
      </w:r>
      <w:r w:rsidDel="00000000" w:rsidR="00000000" w:rsidRPr="00000000">
        <w:rPr/>
        <w:drawing>
          <wp:inline distB="114300" distT="114300" distL="114300" distR="114300">
            <wp:extent cx="4705350" cy="461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now have an accessible user portal in the upper right hand corner of the page. Click the dropdown and click “Requests”.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page contains a list of all requests that you requested.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ticket view allows you to view the conversation history, status, and some associated metadata. You can also handle all communications in this view. 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05500" cy="6057900"/>
          <wp:effectExtent b="0" l="0" r="0" t="0"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0" cy="6057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9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7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help.applitools.com/hc/en-us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