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檢索增強大型語言模型在中醫辨證與西醫健康資訊問答之應用與評估</w:t>
      </w:r>
    </w:p>
    <w:p>
      <w:pPr>
        <w:pStyle w:val="Subtitle"/>
      </w:pPr>
      <w:r>
        <w:t>Application and Evaluation of Retrieval-Augmented Large Language Models for TCM Syndrome Differentiation and Western Medical Health Information Question Answering</w:t>
      </w:r>
    </w:p>
    <w:p>
      <w:r>
        <w:t>研究生：陳先正　｜　指導教授：林聯發 博士</w:t>
      </w:r>
    </w:p>
    <w:p>
      <w:pPr>
        <w:pStyle w:val="Heading1"/>
      </w:pPr>
      <w:r>
        <w:t>摘要</w:t>
      </w:r>
    </w:p>
    <w:p>
      <w:r>
        <w:t>本研究探討在使用相同大型語言模型的條件下，加入外部資料檢索是否能改善中醫辨證與西醫健康資訊問答的回答品質。研究以Qwen3.5:9b為生成模型，設置純模型A組及檢索增強B組，分別建構相似病例檢索與健康資訊證據取得流程。中醫採用TCMEval-SDT共300筆病例，以200筆訓練病例建立檢索庫，50筆驗證病例選擇方法，並以50筆測試病例進行正式比較。驗證階段比較BM25與BGE-M3後，正式B組採BGE-M3取得三筆相似病例，依官方權重評估臨床資訊抽取、病機判斷、證型判斷與辨證解釋。西醫整合SNOMED CT與MedlinePlus，建立516題固定英文模板問題，分為102題驗證集與414題測試集，依指定摘要評估事實涵蓋、證據支持及來源呈現。</w:t>
      </w:r>
    </w:p>
    <w:p>
      <w:r>
        <w:t>西醫結果顯示，B組重要事實涵蓋率由57.09%提高至74.28%，證據支持比例由50.37%提高至99.51%，正確來源呈現率由0%提高至100%。中醫官方加權總分由50.78%提高至52.25%，但病機與證型命中率@3分別僅為4%與2%。結果顯示，在主題明確且可取得指定證據的情境下，外部資料能提高回答對來源的符合程度；相似病例檢索則可能受辨證相關性不足限制。研究建立兩類任務的資料處理、生成與評估流程，並指出證據支持、辨證正確性及使用者主觀信任應分別衡量。一般民眾盲測屬後續評估，現階段結果不推論其主觀偏好或臨床效益。</w:t>
      </w:r>
    </w:p>
    <w:p>
      <w:r>
        <w:t>關鍵字：檢索增強生成、大型語言模型、中醫辨證、TCMEval-SDT、SNOMED CT、MedlinePlus、證據支持。</w:t>
      </w:r>
    </w:p>
    <w:p>
      <w:r>
        <w:br w:type="page"/>
      </w:r>
    </w:p>
    <w:p>
      <w:pPr>
        <w:pStyle w:val="Heading1"/>
      </w:pPr>
      <w:r>
        <w:t>I. 緒論（Introduction）</w:t>
      </w:r>
    </w:p>
    <w:p>
      <w:pPr>
        <w:pStyle w:val="Heading2"/>
      </w:pPr>
      <w:r>
        <w:t>A. 研究背景與動機</w:t>
      </w:r>
    </w:p>
    <w:p>
      <w:r>
        <w:t>大型語言模型可依自然語言問題產生連貫回答，適合用於健康資訊說明及病例文字理解。然而，語句流暢不必然代表每項內容均有可確認的資料依據。健康資訊使用者除了需要理解回答，也需要知道資訊來源；中醫辨證則需要將症狀、舌象、脈象與病機、證型連結，不能只依文字表面相似程度判斷。</w:t>
      </w:r>
    </w:p>
    <w:p>
      <w:r>
        <w:t>檢索增強生成（Retrieval-Augmented Generation, RAG）將外部資料取得與語言生成結合，使模型在回答時能利用相關內容[1]。其效果取決於檢索資料是否切合問題，以及模型是否正確使用資料。因此，本研究將「加入檢索是否改善回答」視為待檢驗問題，並在相同生成模型下進行A、B組比較。</w:t>
      </w:r>
    </w:p>
    <w:p>
      <w:r>
        <w:t>中醫與西醫任務所需證據性質不同。中醫以其他病例提供辨證參考，模型仍須判斷相似病例與當前個案的差異；西醫健康問答則以標準概念連結指定健康摘要，模型主要將來源內容轉換為符合題意的回答。本研究在共同的檢索增強框架下處理兩個獨立任務，分析其效果與適用邊界。</w:t>
      </w:r>
    </w:p>
    <w:p>
      <w:pPr>
        <w:pStyle w:val="Heading2"/>
      </w:pPr>
      <w:r>
        <w:t>B. 研究問題</w:t>
      </w:r>
    </w:p>
    <w:p>
      <w:r>
        <w:t>RQ1：在TCMEval-SDT中，加入訓練病例檢索後，臨床資訊抽取、病機判斷、證型判斷與解釋生成是否優於純LLM？</w:t>
      </w:r>
    </w:p>
    <w:p>
      <w:r>
        <w:t>RQ2：加入SNOMED CT概念連結與MedlinePlus摘要後，回答的重要事實涵蓋、證據支持及正確來源呈現是否改善？</w:t>
      </w:r>
    </w:p>
    <w:p>
      <w:r>
        <w:t>RQ3：檢索病例的病機與證型相關性，能否協助解釋中醫任務的改善幅度？兩類任務的證據取得方式如何影響結果解讀？</w:t>
      </w:r>
    </w:p>
    <w:p>
      <w:r>
        <w:t>RQ4：一般使用者是否認為檢索增強回答較容易理解、完整且值得信任？此問題規劃以後續盲測問卷回答，現階段不列為已驗證結果。</w:t>
      </w:r>
    </w:p>
    <w:p>
      <w:pPr>
        <w:pStyle w:val="Heading2"/>
      </w:pPr>
      <w:r>
        <w:t>C. 研究範圍與貢獻</w:t>
      </w:r>
    </w:p>
    <w:p>
      <w:r>
        <w:t>本研究的第一項貢獻為建構兩種外部資料處理流程：中醫建立限定使用訓練資料的病例檢索庫，西醫建立經MedlinePlus Connect確認的健康主題與醫療概念對照。第二項貢獻為在固定生成模型下進行成對比較，以任務適切指標分別評估辨證表現及證據忠實度。第三項貢獻為結合整體分數、題型分析與病例命中率，說明檢索相關性可能造成的效益差異。</w:t>
      </w:r>
    </w:p>
    <w:p>
      <w:r>
        <w:t>研究範圍包含中文中醫病例與英文西醫模板問題。兩者具有不同資料來源、樣本數與評分尺度，因此不將分數合成跨任務總分，也不以兩者的改善幅度推論某一醫療體系較適合LLM。研究評估資訊生成與辨證參考品質，不以實驗分數替代臨床診斷驗證。</w:t>
      </w:r>
    </w:p>
    <w:p>
      <w:pPr>
        <w:pStyle w:val="Heading2"/>
      </w:pPr>
      <w:r>
        <w:t>D. 論文章節安排</w:t>
      </w:r>
    </w:p>
    <w:p>
      <w:r>
        <w:t>第二章回顧RAG、中醫辨證評估、醫療術語對照與生成評分研究；第三章說明五模組系統架構；第四章介紹資料、比較組別、參數與統計方法；第五章呈現結果、檢索診斷及限制；第六章提出結論與後續研究方向。</w:t>
      </w:r>
    </w:p>
    <w:p>
      <w:pPr>
        <w:pStyle w:val="Heading1"/>
      </w:pPr>
      <w:r>
        <w:t>II. 相關研究（Related Work）</w:t>
      </w:r>
    </w:p>
    <w:p>
      <w:pPr>
        <w:pStyle w:val="Heading2"/>
      </w:pPr>
      <w:r>
        <w:t>A. 大型語言模型與檢索增強生成</w:t>
      </w:r>
    </w:p>
    <w:p>
      <w:r>
        <w:t>RAG透過檢索外部文件補充生成模型所需資訊[1]，可使回答與可追溯資料連結。但文件相關性、證據充分程度及模型使用證據的方式仍可能影響輸出。對本研究而言，重要的比較是同一問題在有無外部參考內容下的差異，而非不同模型規模的競賽。</w:t>
      </w:r>
    </w:p>
    <w:p>
      <w:r>
        <w:t>本研究以Qwen3.5:9b作為共同生成模型，官方模型資訊提供其模型身分與能力說明[12]。本機實驗有助於固定執行環境，但模型名稱本身不足以完整描述環境，仍須記錄權重版本、量化格式、推論軟體及提示詞。研究未以微調改變生成模型參數，所檢驗的是推論階段加入資料的作用。</w:t>
      </w:r>
    </w:p>
    <w:p>
      <w:pPr>
        <w:pStyle w:val="Heading2"/>
      </w:pPr>
      <w:r>
        <w:t>B. 中醫辨證與相似病例檢索</w:t>
      </w:r>
    </w:p>
    <w:p>
      <w:r>
        <w:t>TCMEval-SDT提供病例、臨床資訊、病機、證型及解釋，並以分階段任務評估辨證過程[2]。相較於僅輸出單一證型的分類任務，此設計能分辨模型在哪一個辨證環節出現差異。本研究沿用官方評分方向與權重，使結果不因研究者任意調整權重而改變。</w:t>
      </w:r>
    </w:p>
    <w:p>
      <w:r>
        <w:t>BM25根據詞頻、詞語稀有程度與文件長度計算相關性[3]，適合作為詞彙檢索基準。BGE-M3支援多語言文本表示[4]；本研究使用其密集向量與餘弦相似度進行病例排序，未同時採用其所有檢索功能。餘弦相似度衡量向量方向接近程度，但語意接近不等於病機或證型相同。故本研究除比較最終作答分數，也檢查取回病例的辨證標籤是否命中。</w:t>
      </w:r>
    </w:p>
    <w:p>
      <w:pPr>
        <w:pStyle w:val="Heading2"/>
      </w:pPr>
      <w:r>
        <w:t>C. 標準醫療術語與可信健康資訊</w:t>
      </w:r>
    </w:p>
    <w:p>
      <w:r>
        <w:t>SNOMED CT提供醫療概念、描述與關係資料[5]，可協助將不同名稱連結至概念編號。MedlinePlus提供健康主題與摘要，其XML適合資料擷取及整理[6]。MedlinePlus Connect則提供以醫療代碼連結健康資訊的服務[7]。本研究分開使用兩者的功能：SNOMED CT負責識別與對照，MedlinePlus摘要負責提供回答內容。</w:t>
      </w:r>
    </w:p>
    <w:p>
      <w:r>
        <w:t>Roberts等人的一般民眾健康問題分類包含資訊、表現及管理等面向[8]。本研究據此選取疾病基本認識、症狀辨識及治療管理三類，並自行以固定英文模板產生問題。模板化設計降低句型差異，但也縮小了自然語言理解的挑戰，因此結果適用範圍應限於本研究所涵蓋的問題形式。</w:t>
      </w:r>
    </w:p>
    <w:p>
      <w:pPr>
        <w:pStyle w:val="Heading2"/>
      </w:pPr>
      <w:r>
        <w:t>D. 證據導向評估與可追溯回答</w:t>
      </w:r>
    </w:p>
    <w:p>
      <w:r>
        <w:t>FActScore提出將生成內容拆成原子事實，再判斷可靠來源是否支持的評估思路[9]。RAGAs強調檢索增強系統應從多個面向衡量[10]；ALCE則將引用品質納入可驗證回答的研究[11]。本研究參考這些方向，分開衡量重要事實涵蓋、證據支持與來源呈現，不將不同意義的指標任意合成單一分數。</w:t>
      </w:r>
    </w:p>
    <w:p>
      <w:r>
        <w:t>LLM評分可以依明確規則處理生成文字，G-Eval提供相關方法討論[14]。然而，自動評分仍可能誤拆事實、誤判支持關係或受到措辭影響。本研究以固定提示詞、temperature=0與結構化輸出控制變動，並將Gemma評分視為需校準的測量工具，而非醫學事實的最終裁判。正確網址呈現也僅代表具備來源入口，不等同每項陳述均完成逐句引用驗證。</w:t>
      </w:r>
    </w:p>
    <w:p>
      <w:pPr>
        <w:sectPr>
          <w:footerReference w:type="default" r:id="rId9"/>
          <w:pgSz w:w="11906" w:h="16838"/>
          <w:pgMar w:top="1134" w:right="1247" w:bottom="1134" w:left="1247" w:header="720" w:footer="720" w:gutter="0"/>
          <w:cols w:space="720"/>
          <w:docGrid w:linePitch="360"/>
        </w:sectPr>
      </w:pPr>
    </w:p>
    <w:p>
      <w:pPr>
        <w:pStyle w:val="Heading1"/>
      </w:pPr>
      <w:r>
        <w:t>III. 系統架構（The System Framework）</w:t>
      </w:r>
    </w:p>
    <w:p>
      <w:r>
        <w:t>系統以臨床／健康資料建置、症狀與證據分析、回答生成、可解釋輸出及評估五個模組組成。圖1保留上方資料建置、左側證據分析、中央生成與解釋、右側評估及最終輸出的配置。中醫與西醫共用模組職責，但採用不同的資料處理與證據取得方法。</w:t>
      </w:r>
    </w:p>
    <w:p>
      <w:pPr>
        <w:jc w:val="center"/>
      </w:pPr>
      <w:r>
        <w:drawing>
          <wp:inline xmlns:a="http://schemas.openxmlformats.org/drawingml/2006/main" xmlns:pic="http://schemas.openxmlformats.org/drawingml/2006/picture">
            <wp:extent cx="7560000" cy="4410000"/>
            <wp:docPr id="1" name="Picture 1"/>
            <wp:cNvGraphicFramePr>
              <a:graphicFrameLocks noChangeAspect="1"/>
            </wp:cNvGraphicFramePr>
            <a:graphic>
              <a:graphicData uri="http://schemas.openxmlformats.org/drawingml/2006/picture">
                <pic:pic>
                  <pic:nvPicPr>
                    <pic:cNvPr id="0" name="framework.png"/>
                    <pic:cNvPicPr/>
                  </pic:nvPicPr>
                  <pic:blipFill>
                    <a:blip r:embed="rId10"/>
                    <a:stretch>
                      <a:fillRect/>
                    </a:stretch>
                  </pic:blipFill>
                  <pic:spPr>
                    <a:xfrm>
                      <a:off x="0" y="0"/>
                      <a:ext cx="7560000" cy="4410000"/>
                    </a:xfrm>
                    <a:prstGeom prst="rect"/>
                  </pic:spPr>
                </pic:pic>
              </a:graphicData>
            </a:graphic>
          </wp:inline>
        </w:drawing>
      </w:r>
    </w:p>
    <w:p>
      <w:pPr>
        <w:pStyle w:val="Caption"/>
        <w:spacing w:line="240" w:lineRule="auto" w:after="60"/>
      </w:pPr>
      <w:r>
        <w:rPr>
          <w:sz w:val="18"/>
        </w:rPr>
        <w:t>圖1　中醫辨證與西醫健康資訊問答系統架構。五模組的位置與連線沿用參考架構，模組內容依本研究任務調整。</w:t>
      </w:r>
    </w:p>
    <w:p>
      <w:pPr>
        <w:sectPr>
          <w:pgSz w:w="16838" w:h="11906" w:orient="landscape"/>
          <w:pgMar w:top="737" w:right="850" w:bottom="737" w:left="850" w:header="720" w:footer="720" w:gutter="0"/>
          <w:cols w:space="720"/>
          <w:docGrid w:linePitch="360"/>
        </w:sectPr>
      </w:pPr>
    </w:p>
    <w:p>
      <w:pPr>
        <w:pStyle w:val="Heading2"/>
      </w:pPr>
      <w:r>
        <w:t>A. 臨床／健康資料建置模組</w:t>
      </w:r>
    </w:p>
    <w:p>
      <w:r>
        <w:t>中醫資料建置以TCMEval-SDT為來源，保留病例編號與完整病例描述，將臨床資訊、病機、證型及辨證說明保存為後續評估依據。病機與證型轉換為A～J選項，包含標準答案與干擾選項。生成階段使用病例與候選選項，驗證與測試答案獨立保存，避免將當題答案加入輸入。檢索庫僅含200筆訓練病例。</w:t>
      </w:r>
    </w:p>
    <w:p>
      <w:r>
        <w:t>西醫資料建置解析MedlinePlus XML，保留英文主題、名稱、摘要與來源網址，清理摘要內容並處理缺漏。同時整理SNOMED CT的有效概念、英文描述與關係，以名稱及別名形成候選對照，再透過MedlinePlus Connect確認。最終證據庫保存合格主題、概念編號、摘要及來源，供問題處理與評估使用。</w:t>
      </w:r>
    </w:p>
    <w:p>
      <w:r>
        <w:t>本模組中的清理不表示刪除所有標點或停用詞。病例中的否定詞與症狀關係可能影響辨證，因此前處理應以保留原意為原則。實驗資料建置與測試資料評分須分離，資料版本與切分清單應固定，避免後續修改改變比較基礎。</w:t>
      </w:r>
    </w:p>
    <w:p>
      <w:pPr>
        <w:pStyle w:val="Heading2"/>
      </w:pPr>
      <w:r>
        <w:t>B. 症狀與證據分析模組</w:t>
      </w:r>
    </w:p>
    <w:p>
      <w:r>
        <w:t>中醫路徑將病例轉成BGE-M3向量，以餘弦相似度排序200筆訓練病例，選出前三筆作為外部參考。令q為查詢病例向量、d為候選病例向量，其相似度為cos(q,d)=(q·d)/(‖q‖‖d‖)。此步驟取得相似病例，而非直接將相似病例的證型視為當前病例答案。生成模型仍須依當前病例及選項完成判斷。</w:t>
      </w:r>
    </w:p>
    <w:p>
      <w:r>
        <w:t>西醫路徑依問題中的主題名稱或別名精確比對，採最長且唯一的名稱對應規則，取得一筆MedlinePlus摘要，再附加SNOMED CT概念編號與來源網址。此流程未使用向量排序、混合檢索或加權融合。因問題由已知主題模板產生，其結果反映主題可識別條件下的證據使用效果，尚不能代表自由輸入、多疾病歧義或無匹配問題的表現。</w:t>
      </w:r>
    </w:p>
    <w:p>
      <w:r>
        <w:t>檢索結果同時提供回答生成與可追溯輸出所需內容。中醫可利用病例編號連回參考病例，西醫可利用網址連回健康資訊。病例是否具備辨證價值，另於實驗後以病機及證型命中率檢查，不在正式測試時依標準答案重新挑選檢索結果。</w:t>
      </w:r>
    </w:p>
    <w:p>
      <w:pPr>
        <w:pStyle w:val="Heading2"/>
      </w:pPr>
      <w:r>
        <w:t>C. 回答生成模組</w:t>
      </w:r>
    </w:p>
    <w:p>
      <w:r>
        <w:t>A、B兩組使用Qwen3.5:9b。A組接收問題或病例，B組另接收取回的資料。中醫輸出包含臨床資訊、病機選擇、證型選擇及辨證解釋；西醫輸出依疾病基本認識、症狀或治療管理題型組織內容。兩組在同一任務內維持相同模型及主要生成設定，避免將模型差異誤認為檢索差異。</w:t>
      </w:r>
    </w:p>
    <w:p>
      <w:r>
        <w:t>B組的提示內容應將當前問題與參考資料分開，要求回答依當前問題作答，並在來源不足時避免補寫成確定結論。正式實驗使用的完整提示詞需與執行紀錄共同保存；本文描述其功能與控制原則，不將示意文字宣稱為已執行的逐字提示詞。Temperature固定為0可降低隨機變動，但無法單獨保證不同硬體與軟體環境的位元級重現。</w:t>
      </w:r>
    </w:p>
    <w:p>
      <w:pPr>
        <w:pStyle w:val="Heading2"/>
      </w:pPr>
      <w:r>
        <w:t>D. 可解釋輸出模組</w:t>
      </w:r>
    </w:p>
    <w:p>
      <w:r>
        <w:t>中醫以病例資訊、病機及證型選擇、辨證理由構成結構化回答。相似病例是輔助證據，其作用為提供參考而非替代當前病例判斷。解釋文字是否符合標準答案，透過ROUGE-L衡量文字重疊，並以語意相似度作為補充分析方向。語句相近與醫理正確屬不同概念，不以相似度單獨判定臨床合理性。</w:t>
      </w:r>
    </w:p>
    <w:p>
      <w:r>
        <w:t>西醫B組呈現健康資訊回答、MedlinePlus網址及SNOMED CT概念編號，使資訊具備可追溯入口。評估時進一步檢查回答內的原子事實是否受到指定摘要支持。研究所稱可解釋輸出，是指外部證據、來源及文字理由可供檢視，不表示已揭露模型內部推理，也不表示已有醫師認證其因果解釋。</w:t>
      </w:r>
    </w:p>
    <w:p>
      <w:pPr>
        <w:pStyle w:val="Heading2"/>
      </w:pPr>
      <w:r>
        <w:t>E. 評估模組</w:t>
      </w:r>
    </w:p>
    <w:p>
      <w:r>
        <w:t>中醫依官方規則取得四項分數及加權總分；西醫依共同MedlinePlus證據比較四項品質指標，兩組使用相同評分依據。評估模組亦負責成對差異統計、三種題型分析及檢索命中診斷。正式測試結束後才讀取隔離的標準答案，避免評分資訊回流至生成或檢索流程。</w:t>
      </w:r>
    </w:p>
    <w:p>
      <w:pPr>
        <w:pStyle w:val="Heading1"/>
      </w:pPr>
      <w:r>
        <w:t>IV. 實驗設計（Experiment Study）</w:t>
      </w:r>
    </w:p>
    <w:p>
      <w:pPr>
        <w:pStyle w:val="Heading2"/>
      </w:pPr>
      <w:r>
        <w:t>A. 資料來源與切分</w:t>
      </w:r>
    </w:p>
    <w:p>
      <w:r>
        <w:t>中醫採用TCMEval-SDT資料集，三個切分分別用於檢索庫建置、方法選擇與正式測試。此處的訓練集用途為建立檢索庫，並不表示以200筆病例微調Qwen。西醫先整理健康主題與概念對照，再建立驗證及測試問題。表1彙整最終切分。</w:t>
      </w:r>
    </w:p>
    <w:tbl>
      <w:tblPr>
        <w:tblStyle w:val="LightShading-Accent1"/>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keepNext/>
              <w:spacing w:after="80" w:line="269" w:lineRule="auto"/>
            </w:pPr>
            <w:r>
              <w:rPr>
                <w:sz w:val="20"/>
              </w:rPr>
              <w:t>任務</w:t>
            </w:r>
          </w:p>
        </w:tc>
        <w:tc>
          <w:tcPr>
            <w:tcW w:type="dxa" w:w="2353"/>
          </w:tcPr>
          <w:p>
            <w:pPr>
              <w:keepNext/>
              <w:spacing w:after="80" w:line="269" w:lineRule="auto"/>
            </w:pPr>
            <w:r>
              <w:rPr>
                <w:sz w:val="20"/>
              </w:rPr>
              <w:t>訓練／檢索庫</w:t>
            </w:r>
          </w:p>
        </w:tc>
        <w:tc>
          <w:tcPr>
            <w:tcW w:type="dxa" w:w="2353"/>
          </w:tcPr>
          <w:p>
            <w:pPr>
              <w:keepNext/>
              <w:spacing w:after="80" w:line="269" w:lineRule="auto"/>
            </w:pPr>
            <w:r>
              <w:rPr>
                <w:sz w:val="20"/>
              </w:rPr>
              <w:t>驗證集</w:t>
            </w:r>
          </w:p>
        </w:tc>
        <w:tc>
          <w:tcPr>
            <w:tcW w:type="dxa" w:w="2353"/>
          </w:tcPr>
          <w:p>
            <w:pPr>
              <w:keepNext/>
              <w:spacing w:after="80" w:line="269" w:lineRule="auto"/>
            </w:pPr>
            <w:r>
              <w:rPr>
                <w:sz w:val="20"/>
              </w:rPr>
              <w:t>測試集</w:t>
            </w:r>
          </w:p>
        </w:tc>
      </w:tr>
      <w:tr>
        <w:trPr>
          <w:cantSplit/>
        </w:trPr>
        <w:tc>
          <w:tcPr>
            <w:tcW w:type="dxa" w:w="2353"/>
          </w:tcPr>
          <w:p>
            <w:pPr>
              <w:keepNext/>
              <w:spacing w:after="80" w:line="269" w:lineRule="auto"/>
            </w:pPr>
            <w:r>
              <w:rPr>
                <w:sz w:val="20"/>
              </w:rPr>
              <w:t>中醫</w:t>
            </w:r>
          </w:p>
        </w:tc>
        <w:tc>
          <w:tcPr>
            <w:tcW w:type="dxa" w:w="2353"/>
          </w:tcPr>
          <w:p>
            <w:pPr>
              <w:keepNext/>
              <w:spacing w:after="80" w:line="269" w:lineRule="auto"/>
            </w:pPr>
            <w:r>
              <w:rPr>
                <w:sz w:val="20"/>
              </w:rPr>
              <w:t>200筆病例</w:t>
            </w:r>
          </w:p>
        </w:tc>
        <w:tc>
          <w:tcPr>
            <w:tcW w:type="dxa" w:w="2353"/>
          </w:tcPr>
          <w:p>
            <w:pPr>
              <w:keepNext/>
              <w:spacing w:after="80" w:line="269" w:lineRule="auto"/>
            </w:pPr>
            <w:r>
              <w:rPr>
                <w:sz w:val="20"/>
              </w:rPr>
              <w:t>50筆病例</w:t>
            </w:r>
          </w:p>
        </w:tc>
        <w:tc>
          <w:tcPr>
            <w:tcW w:type="dxa" w:w="2353"/>
          </w:tcPr>
          <w:p>
            <w:pPr>
              <w:keepNext/>
              <w:spacing w:after="80" w:line="269" w:lineRule="auto"/>
            </w:pPr>
            <w:r>
              <w:rPr>
                <w:sz w:val="20"/>
              </w:rPr>
              <w:t>50筆病例</w:t>
            </w:r>
          </w:p>
        </w:tc>
      </w:tr>
      <w:tr>
        <w:trPr>
          <w:cantSplit/>
        </w:trPr>
        <w:tc>
          <w:tcPr>
            <w:tcW w:type="dxa" w:w="2353"/>
          </w:tcPr>
          <w:p>
            <w:pPr>
              <w:keepNext w:val="0"/>
              <w:spacing w:after="80" w:line="269" w:lineRule="auto"/>
            </w:pPr>
            <w:r>
              <w:rPr>
                <w:sz w:val="20"/>
              </w:rPr>
              <w:t>西醫</w:t>
            </w:r>
          </w:p>
        </w:tc>
        <w:tc>
          <w:tcPr>
            <w:tcW w:type="dxa" w:w="2353"/>
          </w:tcPr>
          <w:p>
            <w:pPr>
              <w:keepNext w:val="0"/>
              <w:spacing w:after="80" w:line="269" w:lineRule="auto"/>
            </w:pPr>
            <w:r>
              <w:rPr>
                <w:sz w:val="20"/>
              </w:rPr>
              <w:t>合格主題證據庫</w:t>
            </w:r>
          </w:p>
        </w:tc>
        <w:tc>
          <w:tcPr>
            <w:tcW w:type="dxa" w:w="2353"/>
          </w:tcPr>
          <w:p>
            <w:pPr>
              <w:keepNext w:val="0"/>
              <w:spacing w:after="80" w:line="269" w:lineRule="auto"/>
            </w:pPr>
            <w:r>
              <w:rPr>
                <w:sz w:val="20"/>
              </w:rPr>
              <w:t>102題</w:t>
            </w:r>
          </w:p>
        </w:tc>
        <w:tc>
          <w:tcPr>
            <w:tcW w:type="dxa" w:w="2353"/>
          </w:tcPr>
          <w:p>
            <w:pPr>
              <w:keepNext w:val="0"/>
              <w:spacing w:after="80" w:line="269" w:lineRule="auto"/>
            </w:pPr>
            <w:r>
              <w:rPr>
                <w:sz w:val="20"/>
              </w:rPr>
              <w:t>414題</w:t>
            </w:r>
          </w:p>
        </w:tc>
      </w:tr>
    </w:tbl>
    <w:p/>
    <w:p>
      <w:r>
        <w:t>表1　兩類任務的資料使用方式。西醫以516個合格健康主題建立516題，並非每個主題均產生三題。</w:t>
      </w:r>
    </w:p>
    <w:p>
      <w:r>
        <w:t>MedlinePlus原始XML有2,033筆資料，保留英文主題1,017筆，其中1,013筆具有完整摘要，4筆以簡短介紹替代。SNOMED CT使用檔名標示20260401的Concept、Description與Relationship Snapshot。由名稱與別名產生1,420組候選對照，官方服務確認702組，對應519個不重複主題；再依摘要完整性及題型證據篩選，保留516個主題。</w:t>
      </w:r>
    </w:p>
    <w:tbl>
      <w:tblPr>
        <w:tblStyle w:val="LightShading-Accent1"/>
        <w:tblW w:type="auto" w:w="0"/>
        <w:tblLook w:firstColumn="1" w:firstRow="1" w:lastColumn="0" w:lastRow="0" w:noHBand="0" w:noVBand="1" w:val="04A0"/>
      </w:tblPr>
      <w:tblGrid>
        <w:gridCol w:w="3137"/>
        <w:gridCol w:w="3137"/>
        <w:gridCol w:w="3137"/>
      </w:tblGrid>
      <w:tr>
        <w:trPr>
          <w:cantSplit/>
          <w:tblHeader/>
        </w:trPr>
        <w:tc>
          <w:tcPr>
            <w:tcW w:type="dxa" w:w="3137"/>
          </w:tcPr>
          <w:p>
            <w:pPr>
              <w:keepNext/>
              <w:spacing w:after="80" w:line="269" w:lineRule="auto"/>
            </w:pPr>
            <w:r>
              <w:rPr>
                <w:sz w:val="20"/>
              </w:rPr>
              <w:t>題型</w:t>
            </w:r>
          </w:p>
        </w:tc>
        <w:tc>
          <w:tcPr>
            <w:tcW w:type="dxa" w:w="3137"/>
          </w:tcPr>
          <w:p>
            <w:pPr>
              <w:keepNext/>
              <w:spacing w:after="80" w:line="269" w:lineRule="auto"/>
            </w:pPr>
            <w:r>
              <w:rPr>
                <w:sz w:val="20"/>
              </w:rPr>
              <w:t>固定英文模板</w:t>
            </w:r>
          </w:p>
        </w:tc>
        <w:tc>
          <w:tcPr>
            <w:tcW w:type="dxa" w:w="3137"/>
          </w:tcPr>
          <w:p>
            <w:pPr>
              <w:keepNext/>
              <w:spacing w:after="80" w:line="269" w:lineRule="auto"/>
            </w:pPr>
            <w:r>
              <w:rPr>
                <w:sz w:val="20"/>
              </w:rPr>
              <w:t>驗證／測試</w:t>
            </w:r>
          </w:p>
        </w:tc>
      </w:tr>
      <w:tr>
        <w:trPr>
          <w:cantSplit/>
        </w:trPr>
        <w:tc>
          <w:tcPr>
            <w:tcW w:type="dxa" w:w="3137"/>
          </w:tcPr>
          <w:p>
            <w:pPr>
              <w:keepNext/>
              <w:spacing w:after="80" w:line="269" w:lineRule="auto"/>
            </w:pPr>
            <w:r>
              <w:rPr>
                <w:sz w:val="20"/>
              </w:rPr>
              <w:t>疾病基本認識</w:t>
            </w:r>
          </w:p>
        </w:tc>
        <w:tc>
          <w:tcPr>
            <w:tcW w:type="dxa" w:w="3137"/>
          </w:tcPr>
          <w:p>
            <w:pPr>
              <w:keepNext/>
              <w:spacing w:after="80" w:line="269" w:lineRule="auto"/>
            </w:pPr>
            <w:r>
              <w:rPr>
                <w:sz w:val="20"/>
              </w:rPr>
              <w:t>Please provide a brief overview of {topic}.</w:t>
            </w:r>
          </w:p>
        </w:tc>
        <w:tc>
          <w:tcPr>
            <w:tcW w:type="dxa" w:w="3137"/>
          </w:tcPr>
          <w:p>
            <w:pPr>
              <w:keepNext/>
              <w:spacing w:after="80" w:line="269" w:lineRule="auto"/>
            </w:pPr>
            <w:r>
              <w:rPr>
                <w:sz w:val="20"/>
              </w:rPr>
              <w:t>34／138</w:t>
            </w:r>
          </w:p>
        </w:tc>
      </w:tr>
      <w:tr>
        <w:trPr>
          <w:cantSplit/>
        </w:trPr>
        <w:tc>
          <w:tcPr>
            <w:tcW w:type="dxa" w:w="3137"/>
          </w:tcPr>
          <w:p>
            <w:pPr>
              <w:keepNext/>
              <w:spacing w:after="80" w:line="269" w:lineRule="auto"/>
            </w:pPr>
            <w:r>
              <w:rPr>
                <w:sz w:val="20"/>
              </w:rPr>
              <w:t>症狀辨識</w:t>
            </w:r>
          </w:p>
        </w:tc>
        <w:tc>
          <w:tcPr>
            <w:tcW w:type="dxa" w:w="3137"/>
          </w:tcPr>
          <w:p>
            <w:pPr>
              <w:keepNext/>
              <w:spacing w:after="80" w:line="269" w:lineRule="auto"/>
            </w:pPr>
            <w:r>
              <w:rPr>
                <w:sz w:val="20"/>
              </w:rPr>
              <w:t>Which signs or symptoms may occur with {topic}?</w:t>
            </w:r>
          </w:p>
        </w:tc>
        <w:tc>
          <w:tcPr>
            <w:tcW w:type="dxa" w:w="3137"/>
          </w:tcPr>
          <w:p>
            <w:pPr>
              <w:keepNext/>
              <w:spacing w:after="80" w:line="269" w:lineRule="auto"/>
            </w:pPr>
            <w:r>
              <w:rPr>
                <w:sz w:val="20"/>
              </w:rPr>
              <w:t>34／138</w:t>
            </w:r>
          </w:p>
        </w:tc>
      </w:tr>
      <w:tr>
        <w:trPr>
          <w:cantSplit/>
        </w:trPr>
        <w:tc>
          <w:tcPr>
            <w:tcW w:type="dxa" w:w="3137"/>
          </w:tcPr>
          <w:p>
            <w:pPr>
              <w:keepNext w:val="0"/>
              <w:spacing w:after="80" w:line="269" w:lineRule="auto"/>
            </w:pPr>
            <w:r>
              <w:rPr>
                <w:sz w:val="20"/>
              </w:rPr>
              <w:t>治療與管理</w:t>
            </w:r>
          </w:p>
        </w:tc>
        <w:tc>
          <w:tcPr>
            <w:tcW w:type="dxa" w:w="3137"/>
          </w:tcPr>
          <w:p>
            <w:pPr>
              <w:keepNext w:val="0"/>
              <w:spacing w:after="80" w:line="269" w:lineRule="auto"/>
            </w:pPr>
            <w:r>
              <w:rPr>
                <w:sz w:val="20"/>
              </w:rPr>
              <w:t>What approaches are used to treat or manage {topic}?</w:t>
            </w:r>
          </w:p>
        </w:tc>
        <w:tc>
          <w:tcPr>
            <w:tcW w:type="dxa" w:w="3137"/>
          </w:tcPr>
          <w:p>
            <w:pPr>
              <w:keepNext w:val="0"/>
              <w:spacing w:after="80" w:line="269" w:lineRule="auto"/>
            </w:pPr>
            <w:r>
              <w:rPr>
                <w:sz w:val="20"/>
              </w:rPr>
              <w:t>34／138</w:t>
            </w:r>
          </w:p>
        </w:tc>
      </w:tr>
    </w:tbl>
    <w:p/>
    <w:p>
      <w:pPr>
        <w:pStyle w:val="Heading2"/>
      </w:pPr>
      <w:r>
        <w:t>B. 實作設定與對照條件</w:t>
      </w:r>
    </w:p>
    <w:p>
      <w:r>
        <w:t>中醫驗證階段比較純LLM、BM25 top-3及BGE-M3 top-3，依驗證表現選擇正式B組。BM25設定k1=1.2、b=0.75，屬常見基準設定[3]，並非已證明為本資料最佳值。BGE-M3採餘弦相似度排序。Top-k固定為3，但目前未提供k=1、3、5的系統比較，因此不宣稱3為最佳檢索筆數。</w:t>
      </w:r>
    </w:p>
    <w:p>
      <w:r>
        <w:t>西醫B組以名稱與別名取得單一摘要。A組與B組回答相同問題，並以同一摘要作為共同評估證據。此設計衡量加入指定來源後的內容符合程度；B組可見評分來源，A組則無，因此結果應解讀為證據提供策略的效益，不等同模型全部醫學知識的正確率。</w:t>
      </w:r>
    </w:p>
    <w:tbl>
      <w:tblPr>
        <w:tblStyle w:val="LightShading-Accent1"/>
        <w:tblW w:type="auto" w:w="0"/>
        <w:tblLook w:firstColumn="1" w:firstRow="1" w:lastColumn="0" w:lastRow="0" w:noHBand="0" w:noVBand="1" w:val="04A0"/>
      </w:tblPr>
      <w:tblGrid>
        <w:gridCol w:w="3137"/>
        <w:gridCol w:w="3137"/>
        <w:gridCol w:w="3137"/>
      </w:tblGrid>
      <w:tr>
        <w:trPr>
          <w:cantSplit/>
          <w:tblHeader/>
        </w:trPr>
        <w:tc>
          <w:tcPr>
            <w:tcW w:type="dxa" w:w="3137"/>
          </w:tcPr>
          <w:p>
            <w:pPr>
              <w:keepNext/>
              <w:spacing w:after="80" w:line="269" w:lineRule="auto"/>
            </w:pPr>
            <w:r>
              <w:rPr>
                <w:sz w:val="20"/>
              </w:rPr>
              <w:t>設定</w:t>
            </w:r>
          </w:p>
        </w:tc>
        <w:tc>
          <w:tcPr>
            <w:tcW w:type="dxa" w:w="3137"/>
          </w:tcPr>
          <w:p>
            <w:pPr>
              <w:keepNext/>
              <w:spacing w:after="80" w:line="269" w:lineRule="auto"/>
            </w:pPr>
            <w:r>
              <w:rPr>
                <w:sz w:val="20"/>
              </w:rPr>
              <w:t>數值／方式</w:t>
            </w:r>
          </w:p>
        </w:tc>
        <w:tc>
          <w:tcPr>
            <w:tcW w:type="dxa" w:w="3137"/>
          </w:tcPr>
          <w:p>
            <w:pPr>
              <w:keepNext/>
              <w:spacing w:after="80" w:line="269" w:lineRule="auto"/>
            </w:pPr>
            <w:r>
              <w:rPr>
                <w:sz w:val="20"/>
              </w:rPr>
              <w:t>適用範圍</w:t>
            </w:r>
          </w:p>
        </w:tc>
      </w:tr>
      <w:tr>
        <w:trPr>
          <w:cantSplit/>
        </w:trPr>
        <w:tc>
          <w:tcPr>
            <w:tcW w:type="dxa" w:w="3137"/>
          </w:tcPr>
          <w:p>
            <w:pPr>
              <w:keepNext/>
              <w:spacing w:after="80" w:line="269" w:lineRule="auto"/>
            </w:pPr>
            <w:r>
              <w:rPr>
                <w:sz w:val="20"/>
              </w:rPr>
              <w:t>生成模型</w:t>
            </w:r>
          </w:p>
        </w:tc>
        <w:tc>
          <w:tcPr>
            <w:tcW w:type="dxa" w:w="3137"/>
          </w:tcPr>
          <w:p>
            <w:pPr>
              <w:keepNext/>
              <w:spacing w:after="80" w:line="269" w:lineRule="auto"/>
            </w:pPr>
            <w:r>
              <w:rPr>
                <w:sz w:val="20"/>
              </w:rPr>
              <w:t>Qwen3.5:9b</w:t>
            </w:r>
          </w:p>
        </w:tc>
        <w:tc>
          <w:tcPr>
            <w:tcW w:type="dxa" w:w="3137"/>
          </w:tcPr>
          <w:p>
            <w:pPr>
              <w:keepNext/>
              <w:spacing w:after="80" w:line="269" w:lineRule="auto"/>
            </w:pPr>
            <w:r>
              <w:rPr>
                <w:sz w:val="20"/>
              </w:rPr>
              <w:t>中醫、西醫</w:t>
            </w:r>
          </w:p>
        </w:tc>
      </w:tr>
      <w:tr>
        <w:trPr>
          <w:cantSplit/>
        </w:trPr>
        <w:tc>
          <w:tcPr>
            <w:tcW w:type="dxa" w:w="3137"/>
          </w:tcPr>
          <w:p>
            <w:pPr>
              <w:keepNext/>
              <w:spacing w:after="80" w:line="269" w:lineRule="auto"/>
            </w:pPr>
            <w:r>
              <w:rPr>
                <w:sz w:val="20"/>
              </w:rPr>
              <w:t>Temperature／Think</w:t>
            </w:r>
          </w:p>
        </w:tc>
        <w:tc>
          <w:tcPr>
            <w:tcW w:type="dxa" w:w="3137"/>
          </w:tcPr>
          <w:p>
            <w:pPr>
              <w:keepNext/>
              <w:spacing w:after="80" w:line="269" w:lineRule="auto"/>
            </w:pPr>
            <w:r>
              <w:rPr>
                <w:sz w:val="20"/>
              </w:rPr>
              <w:t>0／false</w:t>
            </w:r>
          </w:p>
        </w:tc>
        <w:tc>
          <w:tcPr>
            <w:tcW w:type="dxa" w:w="3137"/>
          </w:tcPr>
          <w:p>
            <w:pPr>
              <w:keepNext/>
              <w:spacing w:after="80" w:line="269" w:lineRule="auto"/>
            </w:pPr>
            <w:r>
              <w:rPr>
                <w:sz w:val="20"/>
              </w:rPr>
              <w:t>生成；西醫評分</w:t>
            </w:r>
          </w:p>
        </w:tc>
      </w:tr>
      <w:tr>
        <w:trPr>
          <w:cantSplit/>
        </w:trPr>
        <w:tc>
          <w:tcPr>
            <w:tcW w:type="dxa" w:w="3137"/>
          </w:tcPr>
          <w:p>
            <w:pPr>
              <w:keepNext/>
              <w:spacing w:after="80" w:line="269" w:lineRule="auto"/>
            </w:pPr>
            <w:r>
              <w:rPr>
                <w:sz w:val="20"/>
              </w:rPr>
              <w:t>中醫檢索</w:t>
            </w:r>
          </w:p>
        </w:tc>
        <w:tc>
          <w:tcPr>
            <w:tcW w:type="dxa" w:w="3137"/>
          </w:tcPr>
          <w:p>
            <w:pPr>
              <w:keepNext/>
              <w:spacing w:after="80" w:line="269" w:lineRule="auto"/>
            </w:pPr>
            <w:r>
              <w:rPr>
                <w:sz w:val="20"/>
              </w:rPr>
              <w:t>BGE-M3，top-3，cosine similarity</w:t>
            </w:r>
          </w:p>
        </w:tc>
        <w:tc>
          <w:tcPr>
            <w:tcW w:type="dxa" w:w="3137"/>
          </w:tcPr>
          <w:p>
            <w:pPr>
              <w:keepNext/>
              <w:spacing w:after="80" w:line="269" w:lineRule="auto"/>
            </w:pPr>
            <w:r>
              <w:rPr>
                <w:sz w:val="20"/>
              </w:rPr>
              <w:t>正式B組</w:t>
            </w:r>
          </w:p>
        </w:tc>
      </w:tr>
      <w:tr>
        <w:trPr>
          <w:cantSplit/>
        </w:trPr>
        <w:tc>
          <w:tcPr>
            <w:tcW w:type="dxa" w:w="3137"/>
          </w:tcPr>
          <w:p>
            <w:pPr>
              <w:keepNext/>
              <w:spacing w:after="80" w:line="269" w:lineRule="auto"/>
            </w:pPr>
            <w:r>
              <w:rPr>
                <w:sz w:val="20"/>
              </w:rPr>
              <w:t>BM25</w:t>
            </w:r>
          </w:p>
        </w:tc>
        <w:tc>
          <w:tcPr>
            <w:tcW w:type="dxa" w:w="3137"/>
          </w:tcPr>
          <w:p>
            <w:pPr>
              <w:keepNext/>
              <w:spacing w:after="80" w:line="269" w:lineRule="auto"/>
            </w:pPr>
            <w:r>
              <w:rPr>
                <w:sz w:val="20"/>
              </w:rPr>
              <w:t>k1=1.2；b=0.75</w:t>
            </w:r>
          </w:p>
        </w:tc>
        <w:tc>
          <w:tcPr>
            <w:tcW w:type="dxa" w:w="3137"/>
          </w:tcPr>
          <w:p>
            <w:pPr>
              <w:keepNext/>
              <w:spacing w:after="80" w:line="269" w:lineRule="auto"/>
            </w:pPr>
            <w:r>
              <w:rPr>
                <w:sz w:val="20"/>
              </w:rPr>
              <w:t>中醫驗證候選</w:t>
            </w:r>
          </w:p>
        </w:tc>
      </w:tr>
      <w:tr>
        <w:trPr>
          <w:cantSplit/>
        </w:trPr>
        <w:tc>
          <w:tcPr>
            <w:tcW w:type="dxa" w:w="3137"/>
          </w:tcPr>
          <w:p>
            <w:pPr>
              <w:keepNext/>
              <w:spacing w:after="80" w:line="269" w:lineRule="auto"/>
            </w:pPr>
            <w:r>
              <w:rPr>
                <w:sz w:val="20"/>
              </w:rPr>
              <w:t>西醫檢索</w:t>
            </w:r>
          </w:p>
        </w:tc>
        <w:tc>
          <w:tcPr>
            <w:tcW w:type="dxa" w:w="3137"/>
          </w:tcPr>
          <w:p>
            <w:pPr>
              <w:keepNext/>
              <w:spacing w:after="80" w:line="269" w:lineRule="auto"/>
            </w:pPr>
            <w:r>
              <w:rPr>
                <w:sz w:val="20"/>
              </w:rPr>
              <w:t>最長且唯一名稱／別名精確比對</w:t>
            </w:r>
          </w:p>
        </w:tc>
        <w:tc>
          <w:tcPr>
            <w:tcW w:type="dxa" w:w="3137"/>
          </w:tcPr>
          <w:p>
            <w:pPr>
              <w:keepNext/>
              <w:spacing w:after="80" w:line="269" w:lineRule="auto"/>
            </w:pPr>
            <w:r>
              <w:rPr>
                <w:sz w:val="20"/>
              </w:rPr>
              <w:t>每題1筆摘要</w:t>
            </w:r>
          </w:p>
        </w:tc>
      </w:tr>
      <w:tr>
        <w:trPr>
          <w:cantSplit/>
        </w:trPr>
        <w:tc>
          <w:tcPr>
            <w:tcW w:type="dxa" w:w="3137"/>
          </w:tcPr>
          <w:p>
            <w:pPr>
              <w:keepNext/>
              <w:spacing w:after="80" w:line="269" w:lineRule="auto"/>
            </w:pPr>
            <w:r>
              <w:rPr>
                <w:sz w:val="20"/>
              </w:rPr>
              <w:t>西醫生成上限</w:t>
            </w:r>
          </w:p>
        </w:tc>
        <w:tc>
          <w:tcPr>
            <w:tcW w:type="dxa" w:w="3137"/>
          </w:tcPr>
          <w:p>
            <w:pPr>
              <w:keepNext/>
              <w:spacing w:after="80" w:line="269" w:lineRule="auto"/>
            </w:pPr>
            <w:r>
              <w:rPr>
                <w:sz w:val="20"/>
              </w:rPr>
              <w:t>max_output_tokens=1,024</w:t>
            </w:r>
          </w:p>
        </w:tc>
        <w:tc>
          <w:tcPr>
            <w:tcW w:type="dxa" w:w="3137"/>
          </w:tcPr>
          <w:p>
            <w:pPr>
              <w:keepNext/>
              <w:spacing w:after="80" w:line="269" w:lineRule="auto"/>
            </w:pPr>
            <w:r>
              <w:rPr>
                <w:sz w:val="20"/>
              </w:rPr>
              <w:t>西醫生成</w:t>
            </w:r>
          </w:p>
        </w:tc>
      </w:tr>
      <w:tr>
        <w:trPr>
          <w:cantSplit/>
        </w:trPr>
        <w:tc>
          <w:tcPr>
            <w:tcW w:type="dxa" w:w="3137"/>
          </w:tcPr>
          <w:p>
            <w:pPr>
              <w:keepNext/>
              <w:spacing w:after="80" w:line="269" w:lineRule="auto"/>
            </w:pPr>
            <w:r>
              <w:rPr>
                <w:sz w:val="20"/>
              </w:rPr>
              <w:t>西醫評分模型</w:t>
            </w:r>
          </w:p>
        </w:tc>
        <w:tc>
          <w:tcPr>
            <w:tcW w:type="dxa" w:w="3137"/>
          </w:tcPr>
          <w:p>
            <w:pPr>
              <w:keepNext/>
              <w:spacing w:after="80" w:line="269" w:lineRule="auto"/>
            </w:pPr>
            <w:r>
              <w:rPr>
                <w:sz w:val="20"/>
              </w:rPr>
              <w:t>Gemma4:12b（實驗標籤）</w:t>
            </w:r>
          </w:p>
        </w:tc>
        <w:tc>
          <w:tcPr>
            <w:tcW w:type="dxa" w:w="3137"/>
          </w:tcPr>
          <w:p>
            <w:pPr>
              <w:keepNext/>
              <w:spacing w:after="80" w:line="269" w:lineRule="auto"/>
            </w:pPr>
            <w:r>
              <w:rPr>
                <w:sz w:val="20"/>
              </w:rPr>
              <w:t>原子事實評估</w:t>
            </w:r>
          </w:p>
        </w:tc>
      </w:tr>
      <w:tr>
        <w:trPr>
          <w:cantSplit/>
        </w:trPr>
        <w:tc>
          <w:tcPr>
            <w:tcW w:type="dxa" w:w="3137"/>
          </w:tcPr>
          <w:p>
            <w:pPr>
              <w:keepNext/>
              <w:spacing w:after="80" w:line="269" w:lineRule="auto"/>
            </w:pPr>
            <w:r>
              <w:rPr>
                <w:sz w:val="20"/>
              </w:rPr>
              <w:t>西醫評分輸出上限</w:t>
            </w:r>
          </w:p>
        </w:tc>
        <w:tc>
          <w:tcPr>
            <w:tcW w:type="dxa" w:w="3137"/>
          </w:tcPr>
          <w:p>
            <w:pPr>
              <w:keepNext/>
              <w:spacing w:after="80" w:line="269" w:lineRule="auto"/>
            </w:pPr>
            <w:r>
              <w:rPr>
                <w:sz w:val="20"/>
              </w:rPr>
              <w:t>num_predict=4,096</w:t>
            </w:r>
          </w:p>
        </w:tc>
        <w:tc>
          <w:tcPr>
            <w:tcW w:type="dxa" w:w="3137"/>
          </w:tcPr>
          <w:p>
            <w:pPr>
              <w:keepNext/>
              <w:spacing w:after="80" w:line="269" w:lineRule="auto"/>
            </w:pPr>
            <w:r>
              <w:rPr>
                <w:sz w:val="20"/>
              </w:rPr>
              <w:t>結構化評分輸出</w:t>
            </w:r>
          </w:p>
        </w:tc>
      </w:tr>
      <w:tr>
        <w:trPr>
          <w:cantSplit/>
        </w:trPr>
        <w:tc>
          <w:tcPr>
            <w:tcW w:type="dxa" w:w="3137"/>
          </w:tcPr>
          <w:p>
            <w:pPr>
              <w:keepNext w:val="0"/>
              <w:spacing w:after="80" w:line="269" w:lineRule="auto"/>
            </w:pPr>
            <w:r>
              <w:rPr>
                <w:sz w:val="20"/>
              </w:rPr>
              <w:t>Bootstrap</w:t>
            </w:r>
          </w:p>
        </w:tc>
        <w:tc>
          <w:tcPr>
            <w:tcW w:type="dxa" w:w="3137"/>
          </w:tcPr>
          <w:p>
            <w:pPr>
              <w:keepNext w:val="0"/>
              <w:spacing w:after="80" w:line="269" w:lineRule="auto"/>
            </w:pPr>
            <w:r>
              <w:rPr>
                <w:sz w:val="20"/>
              </w:rPr>
              <w:t>10,000次；95%信賴區間</w:t>
            </w:r>
          </w:p>
        </w:tc>
        <w:tc>
          <w:tcPr>
            <w:tcW w:type="dxa" w:w="3137"/>
          </w:tcPr>
          <w:p>
            <w:pPr>
              <w:keepNext w:val="0"/>
              <w:spacing w:after="80" w:line="269" w:lineRule="auto"/>
            </w:pPr>
            <w:r>
              <w:rPr>
                <w:sz w:val="20"/>
              </w:rPr>
              <w:t>成對差異</w:t>
            </w:r>
          </w:p>
        </w:tc>
      </w:tr>
    </w:tbl>
    <w:p/>
    <w:p>
      <w:r>
        <w:t>表2　已記錄的實驗設定。Gemma4:12b為實驗記錄中的模型標籤，正式重現須以本機模型資訊確認對應權重與版本；模型家族說明[13]不單獨證明特定本機標籤的身分。中醫輸出上限、硬體規格、量化格式、套件版本及亂數種子值仍需隨執行紀錄補齊。</w:t>
      </w:r>
    </w:p>
    <w:p>
      <w:pPr>
        <w:pStyle w:val="Heading2"/>
      </w:pPr>
      <w:r>
        <w:t>C. 中醫評估指標</w:t>
      </w:r>
    </w:p>
    <w:p>
      <w:r>
        <w:t>正式評分沿用TCMEval-SDT規則[2]。臨床資訊抽取衡量正確抽取項目相對於標準項目的比例；病機及證型分數同時考量正確選項與錯誤選項；辨證解釋使用ROUGE-L[15]。表3列出權重。各分數以平均百分比呈現，官方加權總分亦轉為百分比。</w:t>
      </w:r>
    </w:p>
    <w:tbl>
      <w:tblPr>
        <w:tblStyle w:val="LightShading-Accent1"/>
        <w:tblW w:type="auto" w:w="0"/>
        <w:tblLook w:firstColumn="1" w:firstRow="1" w:lastColumn="0" w:lastRow="0" w:noHBand="0" w:noVBand="1" w:val="04A0"/>
      </w:tblPr>
      <w:tblGrid>
        <w:gridCol w:w="3137"/>
        <w:gridCol w:w="3137"/>
        <w:gridCol w:w="3137"/>
      </w:tblGrid>
      <w:tr>
        <w:trPr>
          <w:cantSplit/>
          <w:tblHeader/>
        </w:trPr>
        <w:tc>
          <w:tcPr>
            <w:tcW w:type="dxa" w:w="3137"/>
          </w:tcPr>
          <w:p>
            <w:pPr>
              <w:keepNext/>
              <w:spacing w:after="80" w:line="269" w:lineRule="auto"/>
            </w:pPr>
            <w:r>
              <w:rPr>
                <w:sz w:val="20"/>
              </w:rPr>
              <w:t>指標</w:t>
            </w:r>
          </w:p>
        </w:tc>
        <w:tc>
          <w:tcPr>
            <w:tcW w:type="dxa" w:w="3137"/>
          </w:tcPr>
          <w:p>
            <w:pPr>
              <w:keepNext/>
              <w:spacing w:after="80" w:line="269" w:lineRule="auto"/>
            </w:pPr>
            <w:r>
              <w:rPr>
                <w:sz w:val="20"/>
              </w:rPr>
              <w:t>計算概念</w:t>
            </w:r>
          </w:p>
        </w:tc>
        <w:tc>
          <w:tcPr>
            <w:tcW w:type="dxa" w:w="3137"/>
          </w:tcPr>
          <w:p>
            <w:pPr>
              <w:keepNext/>
              <w:spacing w:after="80" w:line="269" w:lineRule="auto"/>
            </w:pPr>
            <w:r>
              <w:rPr>
                <w:sz w:val="20"/>
              </w:rPr>
              <w:t>權重</w:t>
            </w:r>
          </w:p>
        </w:tc>
      </w:tr>
      <w:tr>
        <w:trPr>
          <w:cantSplit/>
        </w:trPr>
        <w:tc>
          <w:tcPr>
            <w:tcW w:type="dxa" w:w="3137"/>
          </w:tcPr>
          <w:p>
            <w:pPr>
              <w:keepNext/>
              <w:spacing w:after="80" w:line="269" w:lineRule="auto"/>
            </w:pPr>
            <w:r>
              <w:rPr>
                <w:sz w:val="20"/>
              </w:rPr>
              <w:t>臨床資訊抽取</w:t>
            </w:r>
          </w:p>
        </w:tc>
        <w:tc>
          <w:tcPr>
            <w:tcW w:type="dxa" w:w="3137"/>
          </w:tcPr>
          <w:p>
            <w:pPr>
              <w:keepNext/>
              <w:spacing w:after="80" w:line="269" w:lineRule="auto"/>
            </w:pPr>
            <w:r>
              <w:rPr>
                <w:sz w:val="20"/>
              </w:rPr>
              <w:t>正確抽取項目數／標準答案項目數</w:t>
            </w:r>
          </w:p>
        </w:tc>
        <w:tc>
          <w:tcPr>
            <w:tcW w:type="dxa" w:w="3137"/>
          </w:tcPr>
          <w:p>
            <w:pPr>
              <w:keepNext/>
              <w:spacing w:after="80" w:line="269" w:lineRule="auto"/>
            </w:pPr>
            <w:r>
              <w:rPr>
                <w:sz w:val="20"/>
              </w:rPr>
              <w:t>20%</w:t>
            </w:r>
          </w:p>
        </w:tc>
      </w:tr>
      <w:tr>
        <w:trPr>
          <w:cantSplit/>
        </w:trPr>
        <w:tc>
          <w:tcPr>
            <w:tcW w:type="dxa" w:w="3137"/>
          </w:tcPr>
          <w:p>
            <w:pPr>
              <w:keepNext/>
              <w:spacing w:after="80" w:line="269" w:lineRule="auto"/>
            </w:pPr>
            <w:r>
              <w:rPr>
                <w:sz w:val="20"/>
              </w:rPr>
              <w:t>病機判斷</w:t>
            </w:r>
          </w:p>
        </w:tc>
        <w:tc>
          <w:tcPr>
            <w:tcW w:type="dxa" w:w="3137"/>
          </w:tcPr>
          <w:p>
            <w:pPr>
              <w:keepNext/>
              <w:spacing w:after="80" w:line="269" w:lineRule="auto"/>
            </w:pPr>
            <w:r>
              <w:rPr>
                <w:sz w:val="20"/>
              </w:rPr>
              <w:t>正確選項數／（標準答案數＋錯誤選項數）</w:t>
            </w:r>
          </w:p>
        </w:tc>
        <w:tc>
          <w:tcPr>
            <w:tcW w:type="dxa" w:w="3137"/>
          </w:tcPr>
          <w:p>
            <w:pPr>
              <w:keepNext/>
              <w:spacing w:after="80" w:line="269" w:lineRule="auto"/>
            </w:pPr>
            <w:r>
              <w:rPr>
                <w:sz w:val="20"/>
              </w:rPr>
              <w:t>30%</w:t>
            </w:r>
          </w:p>
        </w:tc>
      </w:tr>
      <w:tr>
        <w:trPr>
          <w:cantSplit/>
        </w:trPr>
        <w:tc>
          <w:tcPr>
            <w:tcW w:type="dxa" w:w="3137"/>
          </w:tcPr>
          <w:p>
            <w:pPr>
              <w:keepNext/>
              <w:spacing w:after="80" w:line="269" w:lineRule="auto"/>
            </w:pPr>
            <w:r>
              <w:rPr>
                <w:sz w:val="20"/>
              </w:rPr>
              <w:t>證型判斷</w:t>
            </w:r>
          </w:p>
        </w:tc>
        <w:tc>
          <w:tcPr>
            <w:tcW w:type="dxa" w:w="3137"/>
          </w:tcPr>
          <w:p>
            <w:pPr>
              <w:keepNext/>
              <w:spacing w:after="80" w:line="269" w:lineRule="auto"/>
            </w:pPr>
            <w:r>
              <w:rPr>
                <w:sz w:val="20"/>
              </w:rPr>
              <w:t>正確選項數／（標準答案數＋錯誤選項數）</w:t>
            </w:r>
          </w:p>
        </w:tc>
        <w:tc>
          <w:tcPr>
            <w:tcW w:type="dxa" w:w="3137"/>
          </w:tcPr>
          <w:p>
            <w:pPr>
              <w:keepNext/>
              <w:spacing w:after="80" w:line="269" w:lineRule="auto"/>
            </w:pPr>
            <w:r>
              <w:rPr>
                <w:sz w:val="20"/>
              </w:rPr>
              <w:t>40%</w:t>
            </w:r>
          </w:p>
        </w:tc>
      </w:tr>
      <w:tr>
        <w:trPr>
          <w:cantSplit/>
        </w:trPr>
        <w:tc>
          <w:tcPr>
            <w:tcW w:type="dxa" w:w="3137"/>
          </w:tcPr>
          <w:p>
            <w:pPr>
              <w:keepNext w:val="0"/>
              <w:spacing w:after="80" w:line="269" w:lineRule="auto"/>
            </w:pPr>
            <w:r>
              <w:rPr>
                <w:sz w:val="20"/>
              </w:rPr>
              <w:t>解釋ROUGE-L</w:t>
            </w:r>
          </w:p>
        </w:tc>
        <w:tc>
          <w:tcPr>
            <w:tcW w:type="dxa" w:w="3137"/>
          </w:tcPr>
          <w:p>
            <w:pPr>
              <w:keepNext w:val="0"/>
              <w:spacing w:after="80" w:line="269" w:lineRule="auto"/>
            </w:pPr>
            <w:r>
              <w:rPr>
                <w:sz w:val="20"/>
              </w:rPr>
              <w:t>與標準解釋的最長共同子序列相關分數</w:t>
            </w:r>
          </w:p>
        </w:tc>
        <w:tc>
          <w:tcPr>
            <w:tcW w:type="dxa" w:w="3137"/>
          </w:tcPr>
          <w:p>
            <w:pPr>
              <w:keepNext w:val="0"/>
              <w:spacing w:after="80" w:line="269" w:lineRule="auto"/>
            </w:pPr>
            <w:r>
              <w:rPr>
                <w:sz w:val="20"/>
              </w:rPr>
              <w:t>10%</w:t>
            </w:r>
          </w:p>
        </w:tc>
      </w:tr>
    </w:tbl>
    <w:p/>
    <w:p>
      <w:r>
        <w:t>表3　中醫官方評估構成。總分S=0.2C+0.3P+0.4Y+0.1R，其中C、P、Y及R依序代表四項分數，使用同一數值尺度。</w:t>
      </w:r>
    </w:p>
    <w:p>
      <w:r>
        <w:t>檢索診斷另計算病機及證型命中率@3，檢查前三筆病例中是否包含相同標籤。正式報告應明列多標籤情境採完全相符或任一交集命中的實作定義，因兩者會影響數值。本研究目前依實驗摘要報告命中率，不將未記錄的匹配細節補作既定事實。</w:t>
      </w:r>
    </w:p>
    <w:p>
      <w:pPr>
        <w:pStyle w:val="Heading2"/>
      </w:pPr>
      <w:r>
        <w:t>D. 西醫評估指標與評分程序</w:t>
      </w:r>
    </w:p>
    <w:p>
      <w:r>
        <w:t>西醫使用Gemma評分模型依固定規則拆解原子事實，再判定與標準摘要的關係。重要事實涵蓋率以標準證據的重要事實為分母；證據支持比例以回答中的可驗證事實為分母，兩者分別對應「是否遺漏」與「是否超出指定證據」。正式評分須凍結重要事實清單與判定規則，使A、B兩組共享相同參考。</w:t>
      </w:r>
    </w:p>
    <w:tbl>
      <w:tblPr>
        <w:tblStyle w:val="LightShading-Accent1"/>
        <w:tblW w:type="auto" w:w="0"/>
        <w:tblLook w:firstColumn="1" w:firstRow="1" w:lastColumn="0" w:lastRow="0" w:noHBand="0" w:noVBand="1" w:val="04A0"/>
      </w:tblPr>
      <w:tblGrid>
        <w:gridCol w:w="3137"/>
        <w:gridCol w:w="3137"/>
        <w:gridCol w:w="3137"/>
      </w:tblGrid>
      <w:tr>
        <w:trPr>
          <w:cantSplit/>
          <w:tblHeader/>
        </w:trPr>
        <w:tc>
          <w:tcPr>
            <w:tcW w:type="dxa" w:w="3137"/>
          </w:tcPr>
          <w:p>
            <w:pPr>
              <w:keepNext/>
              <w:spacing w:after="80" w:line="269" w:lineRule="auto"/>
            </w:pPr>
            <w:r>
              <w:rPr>
                <w:sz w:val="20"/>
              </w:rPr>
              <w:t>指標</w:t>
            </w:r>
          </w:p>
        </w:tc>
        <w:tc>
          <w:tcPr>
            <w:tcW w:type="dxa" w:w="3137"/>
          </w:tcPr>
          <w:p>
            <w:pPr>
              <w:keepNext/>
              <w:spacing w:after="80" w:line="269" w:lineRule="auto"/>
            </w:pPr>
            <w:r>
              <w:rPr>
                <w:sz w:val="20"/>
              </w:rPr>
              <w:t>操作性定義</w:t>
            </w:r>
          </w:p>
        </w:tc>
        <w:tc>
          <w:tcPr>
            <w:tcW w:type="dxa" w:w="3137"/>
          </w:tcPr>
          <w:p>
            <w:pPr>
              <w:keepNext/>
              <w:spacing w:after="80" w:line="269" w:lineRule="auto"/>
            </w:pPr>
            <w:r>
              <w:rPr>
                <w:sz w:val="20"/>
              </w:rPr>
              <w:t>方向</w:t>
            </w:r>
          </w:p>
        </w:tc>
      </w:tr>
      <w:tr>
        <w:trPr>
          <w:cantSplit/>
        </w:trPr>
        <w:tc>
          <w:tcPr>
            <w:tcW w:type="dxa" w:w="3137"/>
          </w:tcPr>
          <w:p>
            <w:pPr>
              <w:keepNext/>
              <w:spacing w:after="80" w:line="269" w:lineRule="auto"/>
            </w:pPr>
            <w:r>
              <w:rPr>
                <w:sz w:val="20"/>
              </w:rPr>
              <w:t>重要事實涵蓋率</w:t>
            </w:r>
          </w:p>
        </w:tc>
        <w:tc>
          <w:tcPr>
            <w:tcW w:type="dxa" w:w="3137"/>
          </w:tcPr>
          <w:p>
            <w:pPr>
              <w:keepNext/>
              <w:spacing w:after="80" w:line="269" w:lineRule="auto"/>
            </w:pPr>
            <w:r>
              <w:rPr>
                <w:sz w:val="20"/>
              </w:rPr>
              <w:t>被回答涵蓋的標準重要事實數／標準重要事實總數</w:t>
            </w:r>
          </w:p>
        </w:tc>
        <w:tc>
          <w:tcPr>
            <w:tcW w:type="dxa" w:w="3137"/>
          </w:tcPr>
          <w:p>
            <w:pPr>
              <w:keepNext/>
              <w:spacing w:after="80" w:line="269" w:lineRule="auto"/>
            </w:pPr>
            <w:r>
              <w:rPr>
                <w:sz w:val="20"/>
              </w:rPr>
              <w:t>越高越好</w:t>
            </w:r>
          </w:p>
        </w:tc>
      </w:tr>
      <w:tr>
        <w:trPr>
          <w:cantSplit/>
        </w:trPr>
        <w:tc>
          <w:tcPr>
            <w:tcW w:type="dxa" w:w="3137"/>
          </w:tcPr>
          <w:p>
            <w:pPr>
              <w:keepNext/>
              <w:spacing w:after="80" w:line="269" w:lineRule="auto"/>
            </w:pPr>
            <w:r>
              <w:rPr>
                <w:sz w:val="20"/>
              </w:rPr>
              <w:t>證據支持比例</w:t>
            </w:r>
          </w:p>
        </w:tc>
        <w:tc>
          <w:tcPr>
            <w:tcW w:type="dxa" w:w="3137"/>
          </w:tcPr>
          <w:p>
            <w:pPr>
              <w:keepNext/>
              <w:spacing w:after="80" w:line="269" w:lineRule="auto"/>
            </w:pPr>
            <w:r>
              <w:rPr>
                <w:sz w:val="20"/>
              </w:rPr>
              <w:t>受摘要支持的回答事實數／回答可驗證事實總數</w:t>
            </w:r>
          </w:p>
        </w:tc>
        <w:tc>
          <w:tcPr>
            <w:tcW w:type="dxa" w:w="3137"/>
          </w:tcPr>
          <w:p>
            <w:pPr>
              <w:keepNext/>
              <w:spacing w:after="80" w:line="269" w:lineRule="auto"/>
            </w:pPr>
            <w:r>
              <w:rPr>
                <w:sz w:val="20"/>
              </w:rPr>
              <w:t>越高越好</w:t>
            </w:r>
          </w:p>
        </w:tc>
      </w:tr>
      <w:tr>
        <w:trPr>
          <w:cantSplit/>
        </w:trPr>
        <w:tc>
          <w:tcPr>
            <w:tcW w:type="dxa" w:w="3137"/>
          </w:tcPr>
          <w:p>
            <w:pPr>
              <w:keepNext/>
              <w:spacing w:after="80" w:line="269" w:lineRule="auto"/>
            </w:pPr>
            <w:r>
              <w:rPr>
                <w:sz w:val="20"/>
              </w:rPr>
              <w:t>無證據支持比例</w:t>
            </w:r>
          </w:p>
        </w:tc>
        <w:tc>
          <w:tcPr>
            <w:tcW w:type="dxa" w:w="3137"/>
          </w:tcPr>
          <w:p>
            <w:pPr>
              <w:keepNext/>
              <w:spacing w:after="80" w:line="269" w:lineRule="auto"/>
            </w:pPr>
            <w:r>
              <w:rPr>
                <w:sz w:val="20"/>
              </w:rPr>
              <w:t>未獲摘要支持的回答事實數／回答可驗證事實總數</w:t>
            </w:r>
          </w:p>
        </w:tc>
        <w:tc>
          <w:tcPr>
            <w:tcW w:type="dxa" w:w="3137"/>
          </w:tcPr>
          <w:p>
            <w:pPr>
              <w:keepNext/>
              <w:spacing w:after="80" w:line="269" w:lineRule="auto"/>
            </w:pPr>
            <w:r>
              <w:rPr>
                <w:sz w:val="20"/>
              </w:rPr>
              <w:t>越低越好</w:t>
            </w:r>
          </w:p>
        </w:tc>
      </w:tr>
      <w:tr>
        <w:trPr>
          <w:cantSplit/>
        </w:trPr>
        <w:tc>
          <w:tcPr>
            <w:tcW w:type="dxa" w:w="3137"/>
          </w:tcPr>
          <w:p>
            <w:pPr>
              <w:keepNext w:val="0"/>
              <w:spacing w:after="80" w:line="269" w:lineRule="auto"/>
            </w:pPr>
            <w:r>
              <w:rPr>
                <w:sz w:val="20"/>
              </w:rPr>
              <w:t>正確來源呈現率</w:t>
            </w:r>
          </w:p>
        </w:tc>
        <w:tc>
          <w:tcPr>
            <w:tcW w:type="dxa" w:w="3137"/>
          </w:tcPr>
          <w:p>
            <w:pPr>
              <w:keepNext w:val="0"/>
              <w:spacing w:after="80" w:line="269" w:lineRule="auto"/>
            </w:pPr>
            <w:r>
              <w:rPr>
                <w:sz w:val="20"/>
              </w:rPr>
              <w:t>列出本題正確MedlinePlus網址的回答數／題數</w:t>
            </w:r>
          </w:p>
        </w:tc>
        <w:tc>
          <w:tcPr>
            <w:tcW w:type="dxa" w:w="3137"/>
          </w:tcPr>
          <w:p>
            <w:pPr>
              <w:keepNext w:val="0"/>
              <w:spacing w:after="80" w:line="269" w:lineRule="auto"/>
            </w:pPr>
            <w:r>
              <w:rPr>
                <w:sz w:val="20"/>
              </w:rPr>
              <w:t>越高越好</w:t>
            </w:r>
          </w:p>
        </w:tc>
      </w:tr>
    </w:tbl>
    <w:p/>
    <w:p>
      <w:r>
        <w:t>表4　西醫品質指標。本研究採互補呈現的支持與未支持比例；兩者不構成彼此獨立的實驗證據。</w:t>
      </w:r>
    </w:p>
    <w:p>
      <w:r>
        <w:t>正式重現應保存原子事實拆解結果、支持判斷與失敗紀錄，並確認無事實回答、分母為零、無法解析JSON及輸出截斷的處理方式。現有摘要尚未完整記載這些邊界規則，因此相關比例應配合原始評分程式解讀。無指定證據支持可能代表超出摘要範圍或與摘要不一致，不能一概視為醫學錯誤。</w:t>
      </w:r>
    </w:p>
    <w:p>
      <w:pPr>
        <w:pStyle w:val="Heading2"/>
      </w:pPr>
      <w:r>
        <w:t>E. 成對統計分析</w:t>
      </w:r>
    </w:p>
    <w:p>
      <w:r>
        <w:t>對每題計算差異dᵢ=Bᵢ−Aᵢ，再對成對差異有放回抽樣10,000次，每次取得平均差異，以第2.5與97.5百分位形成95%信賴區間。Bootstrap以重抽樣估計統計量的不確定性[16]。西醫抽樣單位為414組題目，中醫為50組病例；重抽樣時應保留同一題A、B的配對，不可分別獨立抽樣兩組。</w:t>
      </w:r>
    </w:p>
    <w:p>
      <w:r>
        <w:t>本文以百分點呈現百分比指標的絕對差異。若信賴區間未跨越零，可支持該差異方向在此抽樣程序下較穩定；但目前結果未附具體區間上下限，因此只報告觀察差異，不宣稱統計顯著。若後續對多項指標進行推論，亦應交代多重比較處理或主要指標的事前指定。</w:t>
      </w:r>
    </w:p>
    <w:p>
      <w:pPr>
        <w:pStyle w:val="Heading2"/>
      </w:pPr>
      <w:r>
        <w:t>F. 一般使用者盲測規劃</w:t>
      </w:r>
    </w:p>
    <w:p>
      <w:r>
        <w:t>研究規劃約100位一般民眾參與盲測，隱藏A、B組身分，評估回答可理解度、完整性、可信度及整體偏好。正式執行前應訂定抽題方式、呈現順序隨機化、量表與分析單位，並將主觀信任與客觀證據支持分開分析。目前尚無回收樣本與問卷結果，故不納入本研究已完成實驗的結論。</w:t>
      </w:r>
    </w:p>
    <w:p>
      <w:pPr>
        <w:pStyle w:val="Heading1"/>
      </w:pPr>
      <w:r>
        <w:t>V. 實驗結果（Experiment Results）</w:t>
      </w:r>
    </w:p>
    <w:p>
      <w:pPr>
        <w:pStyle w:val="Heading2"/>
      </w:pPr>
      <w:r>
        <w:t>A. 西醫整體表現</w:t>
      </w:r>
    </w:p>
    <w:p>
      <w:r>
        <w:t>表5呈現414題正式測試結果。B組的重要事實涵蓋率提高17.19個百分點，證據支持比例提高49.14個百分點，並在所有測試回答中呈現正確來源網址。結果顯示，當問題可正確對應至指定摘要時，提供外部證據有助於回答涵蓋摘要重點並減少超出指定來源的內容。</w:t>
      </w:r>
    </w:p>
    <w:tbl>
      <w:tblPr>
        <w:tblStyle w:val="LightShading-Accent1"/>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keepNext/>
              <w:spacing w:after="80" w:line="269" w:lineRule="auto"/>
            </w:pPr>
            <w:r>
              <w:rPr>
                <w:sz w:val="20"/>
              </w:rPr>
              <w:t>指標</w:t>
            </w:r>
          </w:p>
        </w:tc>
        <w:tc>
          <w:tcPr>
            <w:tcW w:type="dxa" w:w="2353"/>
          </w:tcPr>
          <w:p>
            <w:pPr>
              <w:keepNext/>
              <w:spacing w:after="80" w:line="269" w:lineRule="auto"/>
            </w:pPr>
            <w:r>
              <w:rPr>
                <w:sz w:val="20"/>
              </w:rPr>
              <w:t>A組</w:t>
            </w:r>
          </w:p>
        </w:tc>
        <w:tc>
          <w:tcPr>
            <w:tcW w:type="dxa" w:w="2353"/>
          </w:tcPr>
          <w:p>
            <w:pPr>
              <w:keepNext/>
              <w:spacing w:after="80" w:line="269" w:lineRule="auto"/>
            </w:pPr>
            <w:r>
              <w:rPr>
                <w:sz w:val="20"/>
              </w:rPr>
              <w:t>B組</w:t>
            </w:r>
          </w:p>
        </w:tc>
        <w:tc>
          <w:tcPr>
            <w:tcW w:type="dxa" w:w="2353"/>
          </w:tcPr>
          <w:p>
            <w:pPr>
              <w:keepNext/>
              <w:spacing w:after="80" w:line="269" w:lineRule="auto"/>
            </w:pPr>
            <w:r>
              <w:rPr>
                <w:sz w:val="20"/>
              </w:rPr>
              <w:t>B−A（百分點）</w:t>
            </w:r>
          </w:p>
        </w:tc>
      </w:tr>
      <w:tr>
        <w:trPr>
          <w:cantSplit/>
        </w:trPr>
        <w:tc>
          <w:tcPr>
            <w:tcW w:type="dxa" w:w="2353"/>
          </w:tcPr>
          <w:p>
            <w:pPr>
              <w:keepNext/>
              <w:spacing w:after="80" w:line="269" w:lineRule="auto"/>
            </w:pPr>
            <w:r>
              <w:rPr>
                <w:sz w:val="20"/>
              </w:rPr>
              <w:t>重要事實涵蓋率</w:t>
            </w:r>
          </w:p>
        </w:tc>
        <w:tc>
          <w:tcPr>
            <w:tcW w:type="dxa" w:w="2353"/>
          </w:tcPr>
          <w:p>
            <w:pPr>
              <w:keepNext/>
              <w:spacing w:after="80" w:line="269" w:lineRule="auto"/>
            </w:pPr>
            <w:r>
              <w:rPr>
                <w:sz w:val="20"/>
              </w:rPr>
              <w:t>57.09%</w:t>
            </w:r>
          </w:p>
        </w:tc>
        <w:tc>
          <w:tcPr>
            <w:tcW w:type="dxa" w:w="2353"/>
          </w:tcPr>
          <w:p>
            <w:pPr>
              <w:keepNext/>
              <w:spacing w:after="80" w:line="269" w:lineRule="auto"/>
            </w:pPr>
            <w:r>
              <w:rPr>
                <w:sz w:val="20"/>
              </w:rPr>
              <w:t>74.28%</w:t>
            </w:r>
          </w:p>
        </w:tc>
        <w:tc>
          <w:tcPr>
            <w:tcW w:type="dxa" w:w="2353"/>
          </w:tcPr>
          <w:p>
            <w:pPr>
              <w:keepNext/>
              <w:spacing w:after="80" w:line="269" w:lineRule="auto"/>
            </w:pPr>
            <w:r>
              <w:rPr>
                <w:sz w:val="20"/>
              </w:rPr>
              <w:t>+17.19</w:t>
            </w:r>
          </w:p>
        </w:tc>
      </w:tr>
      <w:tr>
        <w:trPr>
          <w:cantSplit/>
        </w:trPr>
        <w:tc>
          <w:tcPr>
            <w:tcW w:type="dxa" w:w="2353"/>
          </w:tcPr>
          <w:p>
            <w:pPr>
              <w:keepNext/>
              <w:spacing w:after="80" w:line="269" w:lineRule="auto"/>
            </w:pPr>
            <w:r>
              <w:rPr>
                <w:sz w:val="20"/>
              </w:rPr>
              <w:t>證據支持比例</w:t>
            </w:r>
          </w:p>
        </w:tc>
        <w:tc>
          <w:tcPr>
            <w:tcW w:type="dxa" w:w="2353"/>
          </w:tcPr>
          <w:p>
            <w:pPr>
              <w:keepNext/>
              <w:spacing w:after="80" w:line="269" w:lineRule="auto"/>
            </w:pPr>
            <w:r>
              <w:rPr>
                <w:sz w:val="20"/>
              </w:rPr>
              <w:t>50.37%</w:t>
            </w:r>
          </w:p>
        </w:tc>
        <w:tc>
          <w:tcPr>
            <w:tcW w:type="dxa" w:w="2353"/>
          </w:tcPr>
          <w:p>
            <w:pPr>
              <w:keepNext/>
              <w:spacing w:after="80" w:line="269" w:lineRule="auto"/>
            </w:pPr>
            <w:r>
              <w:rPr>
                <w:sz w:val="20"/>
              </w:rPr>
              <w:t>99.51%</w:t>
            </w:r>
          </w:p>
        </w:tc>
        <w:tc>
          <w:tcPr>
            <w:tcW w:type="dxa" w:w="2353"/>
          </w:tcPr>
          <w:p>
            <w:pPr>
              <w:keepNext/>
              <w:spacing w:after="80" w:line="269" w:lineRule="auto"/>
            </w:pPr>
            <w:r>
              <w:rPr>
                <w:sz w:val="20"/>
              </w:rPr>
              <w:t>+49.14</w:t>
            </w:r>
          </w:p>
        </w:tc>
      </w:tr>
      <w:tr>
        <w:trPr>
          <w:cantSplit/>
        </w:trPr>
        <w:tc>
          <w:tcPr>
            <w:tcW w:type="dxa" w:w="2353"/>
          </w:tcPr>
          <w:p>
            <w:pPr>
              <w:keepNext/>
              <w:spacing w:after="80" w:line="269" w:lineRule="auto"/>
            </w:pPr>
            <w:r>
              <w:rPr>
                <w:sz w:val="20"/>
              </w:rPr>
              <w:t>無證據支持比例</w:t>
            </w:r>
          </w:p>
        </w:tc>
        <w:tc>
          <w:tcPr>
            <w:tcW w:type="dxa" w:w="2353"/>
          </w:tcPr>
          <w:p>
            <w:pPr>
              <w:keepNext/>
              <w:spacing w:after="80" w:line="269" w:lineRule="auto"/>
            </w:pPr>
            <w:r>
              <w:rPr>
                <w:sz w:val="20"/>
              </w:rPr>
              <w:t>49.63%</w:t>
            </w:r>
          </w:p>
        </w:tc>
        <w:tc>
          <w:tcPr>
            <w:tcW w:type="dxa" w:w="2353"/>
          </w:tcPr>
          <w:p>
            <w:pPr>
              <w:keepNext/>
              <w:spacing w:after="80" w:line="269" w:lineRule="auto"/>
            </w:pPr>
            <w:r>
              <w:rPr>
                <w:sz w:val="20"/>
              </w:rPr>
              <w:t>0.49%</w:t>
            </w:r>
          </w:p>
        </w:tc>
        <w:tc>
          <w:tcPr>
            <w:tcW w:type="dxa" w:w="2353"/>
          </w:tcPr>
          <w:p>
            <w:pPr>
              <w:keepNext/>
              <w:spacing w:after="80" w:line="269" w:lineRule="auto"/>
            </w:pPr>
            <w:r>
              <w:rPr>
                <w:sz w:val="20"/>
              </w:rPr>
              <w:t>−49.14</w:t>
            </w:r>
          </w:p>
        </w:tc>
      </w:tr>
      <w:tr>
        <w:trPr>
          <w:cantSplit/>
        </w:trPr>
        <w:tc>
          <w:tcPr>
            <w:tcW w:type="dxa" w:w="2353"/>
          </w:tcPr>
          <w:p>
            <w:pPr>
              <w:keepNext w:val="0"/>
              <w:spacing w:after="80" w:line="269" w:lineRule="auto"/>
            </w:pPr>
            <w:r>
              <w:rPr>
                <w:sz w:val="20"/>
              </w:rPr>
              <w:t>正確來源呈現率</w:t>
            </w:r>
          </w:p>
        </w:tc>
        <w:tc>
          <w:tcPr>
            <w:tcW w:type="dxa" w:w="2353"/>
          </w:tcPr>
          <w:p>
            <w:pPr>
              <w:keepNext w:val="0"/>
              <w:spacing w:after="80" w:line="269" w:lineRule="auto"/>
            </w:pPr>
            <w:r>
              <w:rPr>
                <w:sz w:val="20"/>
              </w:rPr>
              <w:t>0%</w:t>
            </w:r>
          </w:p>
        </w:tc>
        <w:tc>
          <w:tcPr>
            <w:tcW w:type="dxa" w:w="2353"/>
          </w:tcPr>
          <w:p>
            <w:pPr>
              <w:keepNext w:val="0"/>
              <w:spacing w:after="80" w:line="269" w:lineRule="auto"/>
            </w:pPr>
            <w:r>
              <w:rPr>
                <w:sz w:val="20"/>
              </w:rPr>
              <w:t>100%</w:t>
            </w:r>
          </w:p>
        </w:tc>
        <w:tc>
          <w:tcPr>
            <w:tcW w:type="dxa" w:w="2353"/>
          </w:tcPr>
          <w:p>
            <w:pPr>
              <w:keepNext w:val="0"/>
              <w:spacing w:after="80" w:line="269" w:lineRule="auto"/>
            </w:pPr>
            <w:r>
              <w:rPr>
                <w:sz w:val="20"/>
              </w:rPr>
              <w:t>+100.00</w:t>
            </w:r>
          </w:p>
        </w:tc>
      </w:tr>
    </w:tbl>
    <w:p/>
    <w:p>
      <w:r>
        <w:t>表5　西醫整體測試結果。數值為既有實驗彙整，具體95%信賴區間須由逐題分數重算後補入。</w:t>
      </w:r>
    </w:p>
    <w:p>
      <w:r>
        <w:t>B組的證據支持接近100%，但涵蓋率仍為74.28%，說明「已說出的內容受到支持」與「完整說出重要內容」不同。模型可能維持來源忠實度，同時遺漏部分摘要重點。來源呈現率達100%也不表示每個網址與每項陳述的對應均經人工審查。</w:t>
      </w:r>
    </w:p>
    <w:p>
      <w:pPr>
        <w:pStyle w:val="Heading2"/>
      </w:pPr>
      <w:r>
        <w:t>B. 西醫題型與案例分析</w:t>
      </w:r>
    </w:p>
    <w:p>
      <w:r>
        <w:t>三種題型皆呈現涵蓋率提高，其中疾病基本認識由59.90%提高至90.46%，改善30.56個百分點；症狀辨識及治療管理的改善分別為11.47與9.54個百分點。這些差異可能與摘要內容分布及題型所需細節有關，但尚需逐題證據覆蓋分析才能確認原因。</w:t>
      </w:r>
    </w:p>
    <w:tbl>
      <w:tblPr>
        <w:tblStyle w:val="LightShading-Accent1"/>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keepNext/>
              <w:spacing w:after="80" w:line="269" w:lineRule="auto"/>
            </w:pPr>
            <w:r>
              <w:rPr>
                <w:sz w:val="20"/>
              </w:rPr>
              <w:t>題型</w:t>
            </w:r>
          </w:p>
        </w:tc>
        <w:tc>
          <w:tcPr>
            <w:tcW w:type="dxa" w:w="2353"/>
          </w:tcPr>
          <w:p>
            <w:pPr>
              <w:keepNext/>
              <w:spacing w:after="80" w:line="269" w:lineRule="auto"/>
            </w:pPr>
            <w:r>
              <w:rPr>
                <w:sz w:val="20"/>
              </w:rPr>
              <w:t>A組涵蓋率</w:t>
            </w:r>
          </w:p>
        </w:tc>
        <w:tc>
          <w:tcPr>
            <w:tcW w:type="dxa" w:w="2353"/>
          </w:tcPr>
          <w:p>
            <w:pPr>
              <w:keepNext/>
              <w:spacing w:after="80" w:line="269" w:lineRule="auto"/>
            </w:pPr>
            <w:r>
              <w:rPr>
                <w:sz w:val="20"/>
              </w:rPr>
              <w:t>B組涵蓋率</w:t>
            </w:r>
          </w:p>
        </w:tc>
        <w:tc>
          <w:tcPr>
            <w:tcW w:type="dxa" w:w="2353"/>
          </w:tcPr>
          <w:p>
            <w:pPr>
              <w:keepNext/>
              <w:spacing w:after="80" w:line="269" w:lineRule="auto"/>
            </w:pPr>
            <w:r>
              <w:rPr>
                <w:sz w:val="20"/>
              </w:rPr>
              <w:t>差異（百分點）</w:t>
            </w:r>
          </w:p>
        </w:tc>
      </w:tr>
      <w:tr>
        <w:trPr>
          <w:cantSplit/>
        </w:trPr>
        <w:tc>
          <w:tcPr>
            <w:tcW w:type="dxa" w:w="2353"/>
          </w:tcPr>
          <w:p>
            <w:pPr>
              <w:keepNext/>
              <w:spacing w:after="80" w:line="269" w:lineRule="auto"/>
            </w:pPr>
            <w:r>
              <w:rPr>
                <w:sz w:val="20"/>
              </w:rPr>
              <w:t>疾病基本認識</w:t>
            </w:r>
          </w:p>
        </w:tc>
        <w:tc>
          <w:tcPr>
            <w:tcW w:type="dxa" w:w="2353"/>
          </w:tcPr>
          <w:p>
            <w:pPr>
              <w:keepNext/>
              <w:spacing w:after="80" w:line="269" w:lineRule="auto"/>
            </w:pPr>
            <w:r>
              <w:rPr>
                <w:sz w:val="20"/>
              </w:rPr>
              <w:t>59.90%</w:t>
            </w:r>
          </w:p>
        </w:tc>
        <w:tc>
          <w:tcPr>
            <w:tcW w:type="dxa" w:w="2353"/>
          </w:tcPr>
          <w:p>
            <w:pPr>
              <w:keepNext/>
              <w:spacing w:after="80" w:line="269" w:lineRule="auto"/>
            </w:pPr>
            <w:r>
              <w:rPr>
                <w:sz w:val="20"/>
              </w:rPr>
              <w:t>90.46%</w:t>
            </w:r>
          </w:p>
        </w:tc>
        <w:tc>
          <w:tcPr>
            <w:tcW w:type="dxa" w:w="2353"/>
          </w:tcPr>
          <w:p>
            <w:pPr>
              <w:keepNext/>
              <w:spacing w:after="80" w:line="269" w:lineRule="auto"/>
            </w:pPr>
            <w:r>
              <w:rPr>
                <w:sz w:val="20"/>
              </w:rPr>
              <w:t>+30.56</w:t>
            </w:r>
          </w:p>
        </w:tc>
      </w:tr>
      <w:tr>
        <w:trPr>
          <w:cantSplit/>
        </w:trPr>
        <w:tc>
          <w:tcPr>
            <w:tcW w:type="dxa" w:w="2353"/>
          </w:tcPr>
          <w:p>
            <w:pPr>
              <w:keepNext/>
              <w:spacing w:after="80" w:line="269" w:lineRule="auto"/>
            </w:pPr>
            <w:r>
              <w:rPr>
                <w:sz w:val="20"/>
              </w:rPr>
              <w:t>症狀辨識</w:t>
            </w:r>
          </w:p>
        </w:tc>
        <w:tc>
          <w:tcPr>
            <w:tcW w:type="dxa" w:w="2353"/>
          </w:tcPr>
          <w:p>
            <w:pPr>
              <w:keepNext/>
              <w:spacing w:after="80" w:line="269" w:lineRule="auto"/>
            </w:pPr>
            <w:r>
              <w:rPr>
                <w:sz w:val="20"/>
              </w:rPr>
              <w:t>49.40%</w:t>
            </w:r>
          </w:p>
        </w:tc>
        <w:tc>
          <w:tcPr>
            <w:tcW w:type="dxa" w:w="2353"/>
          </w:tcPr>
          <w:p>
            <w:pPr>
              <w:keepNext/>
              <w:spacing w:after="80" w:line="269" w:lineRule="auto"/>
            </w:pPr>
            <w:r>
              <w:rPr>
                <w:sz w:val="20"/>
              </w:rPr>
              <w:t>60.87%</w:t>
            </w:r>
          </w:p>
        </w:tc>
        <w:tc>
          <w:tcPr>
            <w:tcW w:type="dxa" w:w="2353"/>
          </w:tcPr>
          <w:p>
            <w:pPr>
              <w:keepNext/>
              <w:spacing w:after="80" w:line="269" w:lineRule="auto"/>
            </w:pPr>
            <w:r>
              <w:rPr>
                <w:sz w:val="20"/>
              </w:rPr>
              <w:t>+11.47</w:t>
            </w:r>
          </w:p>
        </w:tc>
      </w:tr>
      <w:tr>
        <w:trPr>
          <w:cantSplit/>
        </w:trPr>
        <w:tc>
          <w:tcPr>
            <w:tcW w:type="dxa" w:w="2353"/>
          </w:tcPr>
          <w:p>
            <w:pPr>
              <w:keepNext w:val="0"/>
              <w:spacing w:after="80" w:line="269" w:lineRule="auto"/>
            </w:pPr>
            <w:r>
              <w:rPr>
                <w:sz w:val="20"/>
              </w:rPr>
              <w:t>治療與管理</w:t>
            </w:r>
          </w:p>
        </w:tc>
        <w:tc>
          <w:tcPr>
            <w:tcW w:type="dxa" w:w="2353"/>
          </w:tcPr>
          <w:p>
            <w:pPr>
              <w:keepNext w:val="0"/>
              <w:spacing w:after="80" w:line="269" w:lineRule="auto"/>
            </w:pPr>
            <w:r>
              <w:rPr>
                <w:sz w:val="20"/>
              </w:rPr>
              <w:t>61.96%</w:t>
            </w:r>
          </w:p>
        </w:tc>
        <w:tc>
          <w:tcPr>
            <w:tcW w:type="dxa" w:w="2353"/>
          </w:tcPr>
          <w:p>
            <w:pPr>
              <w:keepNext w:val="0"/>
              <w:spacing w:after="80" w:line="269" w:lineRule="auto"/>
            </w:pPr>
            <w:r>
              <w:rPr>
                <w:sz w:val="20"/>
              </w:rPr>
              <w:t>71.50%</w:t>
            </w:r>
          </w:p>
        </w:tc>
        <w:tc>
          <w:tcPr>
            <w:tcW w:type="dxa" w:w="2353"/>
          </w:tcPr>
          <w:p>
            <w:pPr>
              <w:keepNext w:val="0"/>
              <w:spacing w:after="80" w:line="269" w:lineRule="auto"/>
            </w:pPr>
            <w:r>
              <w:rPr>
                <w:sz w:val="20"/>
              </w:rPr>
              <w:t>+9.54</w:t>
            </w:r>
          </w:p>
        </w:tc>
      </w:tr>
    </w:tbl>
    <w:p/>
    <w:p>
      <w:r>
        <w:t>表6　西醫各題型重要事實涵蓋率，每類138題。</w:t>
      </w:r>
    </w:p>
    <w:p>
      <w:r>
        <w:t>以WMQ0001的Abdominal Pain概述題為例，A組列出多種可能原因，內容較廣，但部分資訊超出指定摘要；B組較集中於摘要中的腹部範圍及疼痛程度不必然反映嚴重程度等重點，並提供來源。此例說明加入摘要會改變回答範圍及重點選擇，不能僅因A組內容未出現在該摘要中，就認定其所有額外資訊錯誤。</w:t>
      </w:r>
    </w:p>
    <w:p>
      <w:pPr>
        <w:pStyle w:val="Heading2"/>
      </w:pPr>
      <w:r>
        <w:t>C. 中醫方法選擇與正式測試</w:t>
      </w:r>
    </w:p>
    <w:p>
      <w:r>
        <w:t>驗證集的純LLM、BM25 top-3及BGE-M3 top-3分數依序為59.28%、59.64%及60.25%。BGE-M3在此驗證設定中最高，因此選為正式B組；其差距有限，尚不足以推論該方法在所有中醫資料集上普遍優於BM25。</w:t>
      </w:r>
    </w:p>
    <w:tbl>
      <w:tblPr>
        <w:tblStyle w:val="LightShading-Accent1"/>
        <w:tblW w:type="auto" w:w="0"/>
        <w:tblLook w:firstColumn="1" w:firstRow="1" w:lastColumn="0" w:lastRow="0" w:noHBand="0" w:noVBand="1" w:val="04A0"/>
      </w:tblPr>
      <w:tblGrid>
        <w:gridCol w:w="3137"/>
        <w:gridCol w:w="3137"/>
        <w:gridCol w:w="3137"/>
      </w:tblGrid>
      <w:tr>
        <w:trPr>
          <w:cantSplit/>
          <w:tblHeader/>
        </w:trPr>
        <w:tc>
          <w:tcPr>
            <w:tcW w:type="dxa" w:w="3137"/>
          </w:tcPr>
          <w:p>
            <w:pPr>
              <w:keepNext/>
              <w:spacing w:after="80" w:line="269" w:lineRule="auto"/>
            </w:pPr>
            <w:r>
              <w:rPr>
                <w:sz w:val="20"/>
              </w:rPr>
              <w:t>方法</w:t>
            </w:r>
          </w:p>
        </w:tc>
        <w:tc>
          <w:tcPr>
            <w:tcW w:type="dxa" w:w="3137"/>
          </w:tcPr>
          <w:p>
            <w:pPr>
              <w:keepNext/>
              <w:spacing w:after="80" w:line="269" w:lineRule="auto"/>
            </w:pPr>
            <w:r>
              <w:rPr>
                <w:sz w:val="20"/>
              </w:rPr>
              <w:t>驗證集官方加權分數</w:t>
            </w:r>
          </w:p>
        </w:tc>
        <w:tc>
          <w:tcPr>
            <w:tcW w:type="dxa" w:w="3137"/>
          </w:tcPr>
          <w:p>
            <w:pPr>
              <w:keepNext/>
              <w:spacing w:after="80" w:line="269" w:lineRule="auto"/>
            </w:pPr>
            <w:r>
              <w:rPr>
                <w:sz w:val="20"/>
              </w:rPr>
              <w:t>用途</w:t>
            </w:r>
          </w:p>
        </w:tc>
      </w:tr>
      <w:tr>
        <w:trPr>
          <w:cantSplit/>
        </w:trPr>
        <w:tc>
          <w:tcPr>
            <w:tcW w:type="dxa" w:w="3137"/>
          </w:tcPr>
          <w:p>
            <w:pPr>
              <w:keepNext/>
              <w:spacing w:after="80" w:line="269" w:lineRule="auto"/>
            </w:pPr>
            <w:r>
              <w:rPr>
                <w:sz w:val="20"/>
              </w:rPr>
              <w:t>純LLM</w:t>
            </w:r>
          </w:p>
        </w:tc>
        <w:tc>
          <w:tcPr>
            <w:tcW w:type="dxa" w:w="3137"/>
          </w:tcPr>
          <w:p>
            <w:pPr>
              <w:keepNext/>
              <w:spacing w:after="80" w:line="269" w:lineRule="auto"/>
            </w:pPr>
            <w:r>
              <w:rPr>
                <w:sz w:val="20"/>
              </w:rPr>
              <w:t>59.28%</w:t>
            </w:r>
          </w:p>
        </w:tc>
        <w:tc>
          <w:tcPr>
            <w:tcW w:type="dxa" w:w="3137"/>
          </w:tcPr>
          <w:p>
            <w:pPr>
              <w:keepNext/>
              <w:spacing w:after="80" w:line="269" w:lineRule="auto"/>
            </w:pPr>
            <w:r>
              <w:rPr>
                <w:sz w:val="20"/>
              </w:rPr>
              <w:t>A組基準</w:t>
            </w:r>
          </w:p>
        </w:tc>
      </w:tr>
      <w:tr>
        <w:trPr>
          <w:cantSplit/>
        </w:trPr>
        <w:tc>
          <w:tcPr>
            <w:tcW w:type="dxa" w:w="3137"/>
          </w:tcPr>
          <w:p>
            <w:pPr>
              <w:keepNext/>
              <w:spacing w:after="80" w:line="269" w:lineRule="auto"/>
            </w:pPr>
            <w:r>
              <w:rPr>
                <w:sz w:val="20"/>
              </w:rPr>
              <w:t>BM25 top-3</w:t>
            </w:r>
          </w:p>
        </w:tc>
        <w:tc>
          <w:tcPr>
            <w:tcW w:type="dxa" w:w="3137"/>
          </w:tcPr>
          <w:p>
            <w:pPr>
              <w:keepNext/>
              <w:spacing w:after="80" w:line="269" w:lineRule="auto"/>
            </w:pPr>
            <w:r>
              <w:rPr>
                <w:sz w:val="20"/>
              </w:rPr>
              <w:t>59.64%</w:t>
            </w:r>
          </w:p>
        </w:tc>
        <w:tc>
          <w:tcPr>
            <w:tcW w:type="dxa" w:w="3137"/>
          </w:tcPr>
          <w:p>
            <w:pPr>
              <w:keepNext/>
              <w:spacing w:after="80" w:line="269" w:lineRule="auto"/>
            </w:pPr>
            <w:r>
              <w:rPr>
                <w:sz w:val="20"/>
              </w:rPr>
              <w:t>檢索候選</w:t>
            </w:r>
          </w:p>
        </w:tc>
      </w:tr>
      <w:tr>
        <w:trPr>
          <w:cantSplit/>
        </w:trPr>
        <w:tc>
          <w:tcPr>
            <w:tcW w:type="dxa" w:w="3137"/>
          </w:tcPr>
          <w:p>
            <w:pPr>
              <w:keepNext w:val="0"/>
              <w:spacing w:after="80" w:line="269" w:lineRule="auto"/>
            </w:pPr>
            <w:r>
              <w:rPr>
                <w:sz w:val="20"/>
              </w:rPr>
              <w:t>BGE-M3 top-3</w:t>
            </w:r>
          </w:p>
        </w:tc>
        <w:tc>
          <w:tcPr>
            <w:tcW w:type="dxa" w:w="3137"/>
          </w:tcPr>
          <w:p>
            <w:pPr>
              <w:keepNext w:val="0"/>
              <w:spacing w:after="80" w:line="269" w:lineRule="auto"/>
            </w:pPr>
            <w:r>
              <w:rPr>
                <w:sz w:val="20"/>
              </w:rPr>
              <w:t>60.25%</w:t>
            </w:r>
          </w:p>
        </w:tc>
        <w:tc>
          <w:tcPr>
            <w:tcW w:type="dxa" w:w="3137"/>
          </w:tcPr>
          <w:p>
            <w:pPr>
              <w:keepNext w:val="0"/>
              <w:spacing w:after="80" w:line="269" w:lineRule="auto"/>
            </w:pPr>
            <w:r>
              <w:rPr>
                <w:sz w:val="20"/>
              </w:rPr>
              <w:t>選為正式B組</w:t>
            </w:r>
          </w:p>
        </w:tc>
      </w:tr>
    </w:tbl>
    <w:p/>
    <w:p>
      <w:r>
        <w:t>表7　中醫50筆驗證病例之方法比較。</w:t>
      </w:r>
    </w:p>
    <w:tbl>
      <w:tblPr>
        <w:tblStyle w:val="LightShading-Accent1"/>
        <w:tblW w:type="auto" w:w="0"/>
        <w:tblLook w:firstColumn="1" w:firstRow="1" w:lastColumn="0" w:lastRow="0" w:noHBand="0" w:noVBand="1" w:val="04A0"/>
      </w:tblPr>
      <w:tblGrid>
        <w:gridCol w:w="2353"/>
        <w:gridCol w:w="2353"/>
        <w:gridCol w:w="2353"/>
        <w:gridCol w:w="2353"/>
      </w:tblGrid>
      <w:tr>
        <w:trPr>
          <w:cantSplit/>
          <w:tblHeader/>
        </w:trPr>
        <w:tc>
          <w:tcPr>
            <w:tcW w:type="dxa" w:w="2353"/>
          </w:tcPr>
          <w:p>
            <w:pPr>
              <w:keepNext/>
              <w:spacing w:after="80" w:line="269" w:lineRule="auto"/>
            </w:pPr>
            <w:r>
              <w:rPr>
                <w:sz w:val="20"/>
              </w:rPr>
              <w:t>測試指標</w:t>
            </w:r>
          </w:p>
        </w:tc>
        <w:tc>
          <w:tcPr>
            <w:tcW w:type="dxa" w:w="2353"/>
          </w:tcPr>
          <w:p>
            <w:pPr>
              <w:keepNext/>
              <w:spacing w:after="80" w:line="269" w:lineRule="auto"/>
            </w:pPr>
            <w:r>
              <w:rPr>
                <w:sz w:val="20"/>
              </w:rPr>
              <w:t>A組</w:t>
            </w:r>
          </w:p>
        </w:tc>
        <w:tc>
          <w:tcPr>
            <w:tcW w:type="dxa" w:w="2353"/>
          </w:tcPr>
          <w:p>
            <w:pPr>
              <w:keepNext/>
              <w:spacing w:after="80" w:line="269" w:lineRule="auto"/>
            </w:pPr>
            <w:r>
              <w:rPr>
                <w:sz w:val="20"/>
              </w:rPr>
              <w:t>B組</w:t>
            </w:r>
          </w:p>
        </w:tc>
        <w:tc>
          <w:tcPr>
            <w:tcW w:type="dxa" w:w="2353"/>
          </w:tcPr>
          <w:p>
            <w:pPr>
              <w:keepNext/>
              <w:spacing w:after="80" w:line="269" w:lineRule="auto"/>
            </w:pPr>
            <w:r>
              <w:rPr>
                <w:sz w:val="20"/>
              </w:rPr>
              <w:t>差異（百分點）</w:t>
            </w:r>
          </w:p>
        </w:tc>
      </w:tr>
      <w:tr>
        <w:trPr>
          <w:cantSplit/>
        </w:trPr>
        <w:tc>
          <w:tcPr>
            <w:tcW w:type="dxa" w:w="2353"/>
          </w:tcPr>
          <w:p>
            <w:pPr>
              <w:keepNext/>
              <w:spacing w:after="80" w:line="269" w:lineRule="auto"/>
            </w:pPr>
            <w:r>
              <w:rPr>
                <w:sz w:val="20"/>
              </w:rPr>
              <w:t>臨床資訊抽取</w:t>
            </w:r>
          </w:p>
        </w:tc>
        <w:tc>
          <w:tcPr>
            <w:tcW w:type="dxa" w:w="2353"/>
          </w:tcPr>
          <w:p>
            <w:pPr>
              <w:keepNext/>
              <w:spacing w:after="80" w:line="269" w:lineRule="auto"/>
            </w:pPr>
            <w:r>
              <w:rPr>
                <w:sz w:val="20"/>
              </w:rPr>
              <w:t>76.70%</w:t>
            </w:r>
          </w:p>
        </w:tc>
        <w:tc>
          <w:tcPr>
            <w:tcW w:type="dxa" w:w="2353"/>
          </w:tcPr>
          <w:p>
            <w:pPr>
              <w:keepNext/>
              <w:spacing w:after="80" w:line="269" w:lineRule="auto"/>
            </w:pPr>
            <w:r>
              <w:rPr>
                <w:sz w:val="20"/>
              </w:rPr>
              <w:t>76.76%</w:t>
            </w:r>
          </w:p>
        </w:tc>
        <w:tc>
          <w:tcPr>
            <w:tcW w:type="dxa" w:w="2353"/>
          </w:tcPr>
          <w:p>
            <w:pPr>
              <w:keepNext/>
              <w:spacing w:after="80" w:line="269" w:lineRule="auto"/>
            </w:pPr>
            <w:r>
              <w:rPr>
                <w:sz w:val="20"/>
              </w:rPr>
              <w:t>+0.06</w:t>
            </w:r>
          </w:p>
        </w:tc>
      </w:tr>
      <w:tr>
        <w:trPr>
          <w:cantSplit/>
        </w:trPr>
        <w:tc>
          <w:tcPr>
            <w:tcW w:type="dxa" w:w="2353"/>
          </w:tcPr>
          <w:p>
            <w:pPr>
              <w:keepNext/>
              <w:spacing w:after="80" w:line="269" w:lineRule="auto"/>
            </w:pPr>
            <w:r>
              <w:rPr>
                <w:sz w:val="20"/>
              </w:rPr>
              <w:t>病機判斷</w:t>
            </w:r>
          </w:p>
        </w:tc>
        <w:tc>
          <w:tcPr>
            <w:tcW w:type="dxa" w:w="2353"/>
          </w:tcPr>
          <w:p>
            <w:pPr>
              <w:keepNext/>
              <w:spacing w:after="80" w:line="269" w:lineRule="auto"/>
            </w:pPr>
            <w:r>
              <w:rPr>
                <w:sz w:val="20"/>
              </w:rPr>
              <w:t>44.75%</w:t>
            </w:r>
          </w:p>
        </w:tc>
        <w:tc>
          <w:tcPr>
            <w:tcW w:type="dxa" w:w="2353"/>
          </w:tcPr>
          <w:p>
            <w:pPr>
              <w:keepNext/>
              <w:spacing w:after="80" w:line="269" w:lineRule="auto"/>
            </w:pPr>
            <w:r>
              <w:rPr>
                <w:sz w:val="20"/>
              </w:rPr>
              <w:t>44.80%</w:t>
            </w:r>
          </w:p>
        </w:tc>
        <w:tc>
          <w:tcPr>
            <w:tcW w:type="dxa" w:w="2353"/>
          </w:tcPr>
          <w:p>
            <w:pPr>
              <w:keepNext/>
              <w:spacing w:after="80" w:line="269" w:lineRule="auto"/>
            </w:pPr>
            <w:r>
              <w:rPr>
                <w:sz w:val="20"/>
              </w:rPr>
              <w:t>+0.05</w:t>
            </w:r>
          </w:p>
        </w:tc>
      </w:tr>
      <w:tr>
        <w:trPr>
          <w:cantSplit/>
        </w:trPr>
        <w:tc>
          <w:tcPr>
            <w:tcW w:type="dxa" w:w="2353"/>
          </w:tcPr>
          <w:p>
            <w:pPr>
              <w:keepNext/>
              <w:spacing w:after="80" w:line="269" w:lineRule="auto"/>
            </w:pPr>
            <w:r>
              <w:rPr>
                <w:sz w:val="20"/>
              </w:rPr>
              <w:t>證型判斷</w:t>
            </w:r>
          </w:p>
        </w:tc>
        <w:tc>
          <w:tcPr>
            <w:tcW w:type="dxa" w:w="2353"/>
          </w:tcPr>
          <w:p>
            <w:pPr>
              <w:keepNext/>
              <w:spacing w:after="80" w:line="269" w:lineRule="auto"/>
            </w:pPr>
            <w:r>
              <w:rPr>
                <w:sz w:val="20"/>
              </w:rPr>
              <w:t>49.17%</w:t>
            </w:r>
          </w:p>
        </w:tc>
        <w:tc>
          <w:tcPr>
            <w:tcW w:type="dxa" w:w="2353"/>
          </w:tcPr>
          <w:p>
            <w:pPr>
              <w:keepNext/>
              <w:spacing w:after="80" w:line="269" w:lineRule="auto"/>
            </w:pPr>
            <w:r>
              <w:rPr>
                <w:sz w:val="20"/>
              </w:rPr>
              <w:t>52.83%</w:t>
            </w:r>
          </w:p>
        </w:tc>
        <w:tc>
          <w:tcPr>
            <w:tcW w:type="dxa" w:w="2353"/>
          </w:tcPr>
          <w:p>
            <w:pPr>
              <w:keepNext/>
              <w:spacing w:after="80" w:line="269" w:lineRule="auto"/>
            </w:pPr>
            <w:r>
              <w:rPr>
                <w:sz w:val="20"/>
              </w:rPr>
              <w:t>約+3.66</w:t>
            </w:r>
          </w:p>
        </w:tc>
      </w:tr>
      <w:tr>
        <w:trPr>
          <w:cantSplit/>
        </w:trPr>
        <w:tc>
          <w:tcPr>
            <w:tcW w:type="dxa" w:w="2353"/>
          </w:tcPr>
          <w:p>
            <w:pPr>
              <w:keepNext/>
              <w:spacing w:after="80" w:line="269" w:lineRule="auto"/>
            </w:pPr>
            <w:r>
              <w:rPr>
                <w:sz w:val="20"/>
              </w:rPr>
              <w:t>解釋ROUGE-L</w:t>
            </w:r>
          </w:p>
        </w:tc>
        <w:tc>
          <w:tcPr>
            <w:tcW w:type="dxa" w:w="2353"/>
          </w:tcPr>
          <w:p>
            <w:pPr>
              <w:keepNext/>
              <w:spacing w:after="80" w:line="269" w:lineRule="auto"/>
            </w:pPr>
            <w:r>
              <w:rPr>
                <w:sz w:val="20"/>
              </w:rPr>
              <w:t>23.43%</w:t>
            </w:r>
          </w:p>
        </w:tc>
        <w:tc>
          <w:tcPr>
            <w:tcW w:type="dxa" w:w="2353"/>
          </w:tcPr>
          <w:p>
            <w:pPr>
              <w:keepNext/>
              <w:spacing w:after="80" w:line="269" w:lineRule="auto"/>
            </w:pPr>
            <w:r>
              <w:rPr>
                <w:sz w:val="20"/>
              </w:rPr>
              <w:t>23.21%</w:t>
            </w:r>
          </w:p>
        </w:tc>
        <w:tc>
          <w:tcPr>
            <w:tcW w:type="dxa" w:w="2353"/>
          </w:tcPr>
          <w:p>
            <w:pPr>
              <w:keepNext/>
              <w:spacing w:after="80" w:line="269" w:lineRule="auto"/>
            </w:pPr>
            <w:r>
              <w:rPr>
                <w:sz w:val="20"/>
              </w:rPr>
              <w:t>−0.22</w:t>
            </w:r>
          </w:p>
        </w:tc>
      </w:tr>
      <w:tr>
        <w:trPr>
          <w:cantSplit/>
        </w:trPr>
        <w:tc>
          <w:tcPr>
            <w:tcW w:type="dxa" w:w="2353"/>
          </w:tcPr>
          <w:p>
            <w:pPr>
              <w:keepNext w:val="0"/>
              <w:spacing w:after="80" w:line="269" w:lineRule="auto"/>
            </w:pPr>
            <w:r>
              <w:rPr>
                <w:sz w:val="20"/>
              </w:rPr>
              <w:t>官方加權總分</w:t>
            </w:r>
          </w:p>
        </w:tc>
        <w:tc>
          <w:tcPr>
            <w:tcW w:type="dxa" w:w="2353"/>
          </w:tcPr>
          <w:p>
            <w:pPr>
              <w:keepNext w:val="0"/>
              <w:spacing w:after="80" w:line="269" w:lineRule="auto"/>
            </w:pPr>
            <w:r>
              <w:rPr>
                <w:sz w:val="20"/>
              </w:rPr>
              <w:t>50.78%</w:t>
            </w:r>
          </w:p>
        </w:tc>
        <w:tc>
          <w:tcPr>
            <w:tcW w:type="dxa" w:w="2353"/>
          </w:tcPr>
          <w:p>
            <w:pPr>
              <w:keepNext w:val="0"/>
              <w:spacing w:after="80" w:line="269" w:lineRule="auto"/>
            </w:pPr>
            <w:r>
              <w:rPr>
                <w:sz w:val="20"/>
              </w:rPr>
              <w:t>52.25%</w:t>
            </w:r>
          </w:p>
        </w:tc>
        <w:tc>
          <w:tcPr>
            <w:tcW w:type="dxa" w:w="2353"/>
          </w:tcPr>
          <w:p>
            <w:pPr>
              <w:keepNext w:val="0"/>
              <w:spacing w:after="80" w:line="269" w:lineRule="auto"/>
            </w:pPr>
            <w:r>
              <w:rPr>
                <w:sz w:val="20"/>
              </w:rPr>
              <w:t>+1.47</w:t>
            </w:r>
          </w:p>
        </w:tc>
      </w:tr>
    </w:tbl>
    <w:p/>
    <w:p>
      <w:r>
        <w:t>表8　中醫50筆正式測試病例結果。證型差異依顯示值相減為3.66個百分點，原彙整記為3.67；差異可能源於未四捨五入原值，最終應以逐題結果統一計算。</w:t>
      </w:r>
    </w:p>
    <w:p>
      <w:r>
        <w:t>正式測試中，臨床資訊與病機分數幾乎不變，證型分數提高，ROUGE-L略降。官方總分提高1.47個百分點，主要來自權重40%的證型項目。這表示外部病例對各辨證步驟的影響不一致，不能用總分上升概括為所有能力皆改善。驗證與測試分數不同也反映樣本切分可能具有不同難度，不能直接將兩者差距解讀成系統退步。</w:t>
      </w:r>
    </w:p>
    <w:p>
      <w:pPr>
        <w:pStyle w:val="Heading2"/>
      </w:pPr>
      <w:r>
        <w:t>D. 檢索診斷與解釋輸出</w:t>
      </w:r>
    </w:p>
    <w:p>
      <w:r>
        <w:t>病機命中率@3為4%，證型命中率@3為2%。此結果指出，在目前標籤匹配與檢索設定下，取回病例很少與當前病例具有相同病機或證型。整段病例向量可能反映症狀表面相似性，卻未充分保留辨證所需差異；有限的200筆檢索庫也可能限制可取得的參考病例。</w:t>
      </w:r>
    </w:p>
    <w:p>
      <w:r>
        <w:t>低命中率可作為中醫改善有限的線索，但不能單憑整體統計確立因果關係。命中率也可能受標籤粒度、同義詞正規化及完全匹配規則影響。後續應比較命中與未命中病例的分數差異，並加入人工判定的病例相關性或理想檢索對照，才能更精確定位瓶頸。</w:t>
      </w:r>
    </w:p>
    <w:p>
      <w:r>
        <w:t>中醫解釋ROUGE-L略降，不必然代表醫理解釋必然變差，因其衡量文字重疊而非臨床推理正確性。現有結果未提供解釋語意相似度的具體數值，也未完成專家解釋品質驗證，因此本文不據此推論解釋品質的全面升降。</w:t>
      </w:r>
    </w:p>
    <w:p>
      <w:pPr>
        <w:pStyle w:val="Heading2"/>
      </w:pPr>
      <w:r>
        <w:t>E. 跨任務討論與研究限制</w:t>
      </w:r>
    </w:p>
    <w:p>
      <w:r>
        <w:t>西醫檢索採主題已知、唯一對應、單筆摘要的較受控制情境；中醫則必須從有限病例中尋找對當前辨證有用的類比證據。兩者的證據與答案關係不同：前者能直接提供答案所需資訊，後者常需要跨病例判斷。這可協助理解改善幅度差異，但不是控制其他條件後的跨領域因果比較。</w:t>
      </w:r>
    </w:p>
    <w:p>
      <w:r>
        <w:t>西醫B組在推論時取得同時用於評分的摘要，評估較偏重指定來源忠實度。這符合研究目的，但限制了對廣泛醫學正確性與完整性的外推。未涵蓋摘要以外的專業知識、自然語言歧義、多主題問題與檢索失敗，也尚未分離SNOMED CT對照本身與MedlinePlus內容的個別貢獻。</w:t>
      </w:r>
    </w:p>
    <w:p>
      <w:r>
        <w:t>中醫測試僅50筆、檢索庫僅200筆，且尚未呈現具體信賴區間。單一生成模型、單一top-k及有限檢索候選限制了普遍性。西醫使用單一自動評分模型，尚缺人工校準與評分一致性分析。固定temperature與JSON格式只能降低部分變動，不能消除評分偏差。</w:t>
      </w:r>
    </w:p>
    <w:p>
      <w:r>
        <w:t>研究亦需補齊模型權重版本、量化方式、硬體、軟體版本、亂數種子、提示詞、最長輸入token數、JSON成功率、回答截斷率與context超限紀錄。這些項目影響重現性；未完成前，現有結果應視為特定實驗設定下的觀察。一般民眾盲測尚未完成，不能由來源呈現率推論信任提升或可理解度改善。</w:t>
      </w:r>
    </w:p>
    <w:p>
      <w:pPr>
        <w:pStyle w:val="Heading1"/>
      </w:pPr>
      <w:r>
        <w:t>VI. 結論（Conclusion）</w:t>
      </w:r>
    </w:p>
    <w:p>
      <w:r>
        <w:t>本研究以固定生成模型比較純LLM與檢索增強方法，完成中醫病例檢索與西醫健康資訊證據取得兩條實驗流程。西醫在414題測試中，重要事實涵蓋率及證據支持比例分別提高17.19與49.14個百分點，並達成100%的正確來源呈現。此結果支持在明確主題與可取得標準摘要的條件下，加入證據能改善回答對指定資料的符合程度。</w:t>
      </w:r>
    </w:p>
    <w:p>
      <w:r>
        <w:t>中醫在50筆病例測試中，官方加權總分由50.78%提高至52.25%，主要改善來自證型判斷；臨床資訊與病機變化有限，解釋文字重疊略降。病機及證型命中率@3僅為4%及2%，顯示病例語意相似與辨證相關性之間仍有落差。整體研究發現，檢索增強的價值應依證據是否有助於當前任務判斷，而非僅依是否加入外部資料評估。</w:t>
      </w:r>
    </w:p>
    <w:p>
      <w:r>
        <w:t>後續中醫研究可將症狀、舌象、脈象等欄位分別表示，並比較混合檢索、重新排序與不同top-k。參考病例之病機與證型可用於訓練庫的相關性分析，但驗證與測試標準答案仍須隔離，避免以答案導向檢索。資料擴充亦應同時處理標籤一致性與病例品質。</w:t>
      </w:r>
    </w:p>
    <w:p>
      <w:r>
        <w:t>西醫後續可加入自然語言改寫、別名歧義、摘要證據不足及無匹配情境，並比較僅MedlinePlus與加入SNOMED CT的消融設定，以區分概念對照與內容證據的作用。評估上應補入人工原子事實校準、完整信賴區間與逐題錯誤分析，再以一般民眾盲測檢驗可理解度與偏好。這些工作將使客觀證據符合程度、使用者感受及臨床適用性各自獲得適當驗證。</w:t>
      </w:r>
    </w:p>
    <w:p>
      <w:pPr>
        <w:pStyle w:val="Heading1"/>
      </w:pPr>
      <w:r>
        <w:t>參考文獻（References）</w:t>
      </w:r>
    </w:p>
    <w:p>
      <w:r>
        <w:t>[1] P. Lewis et al., “Retrieval-Augmented Generation for Knowledge-Intensive NLP Tasks,” NeurIPS, 2020. https://arxiv.org/abs/2005.11401</w:t>
      </w:r>
    </w:p>
    <w:p>
      <w:r>
        <w:t>[2] TCMEval-SDT資料集與評估論文，Scientific Data, 2025. DOI: 10.1038/s41597-025-04772-9. https://www.nature.com/articles/s41597-025-04772-9；資料：https://figshare.com/articles/dataset/TCMEval-SDT/27184596</w:t>
      </w:r>
    </w:p>
    <w:p>
      <w:r>
        <w:t>[3] S. Robertson and H. Zaragoza, “The Probabilistic Relevance Framework: BM25 and Beyond,” Foundations and Trends in Information Retrieval, 2009. https://doi.org/10.1561/1500000019</w:t>
      </w:r>
    </w:p>
    <w:p>
      <w:r>
        <w:t>[4] J. Chen et al., “M3-Embedding: Multi-Linguality, Multi-Functionality, Multi-Granularity Text Embeddings Through Self-Knowledge Distillation,” arXiv:2402.03216. https://arxiv.org/abs/2402.03216</w:t>
      </w:r>
    </w:p>
    <w:p>
      <w:r>
        <w:t>[5] SNOMED International, “The Value of SNOMED CT.” https://www.snomed.org/value-of-snomedct</w:t>
      </w:r>
    </w:p>
    <w:p>
      <w:r>
        <w:t>[6] U.S. National Library of Medicine, “MedlinePlus XML Files.” https://medlineplus.gov/xml.html</w:t>
      </w:r>
    </w:p>
    <w:p>
      <w:r>
        <w:t>[7] U.S. National Library of Medicine, “MedlinePlus Connect.” https://medlineplus.gov/medlineplus-connect/</w:t>
      </w:r>
    </w:p>
    <w:p>
      <w:r>
        <w:t>[8] K. Roberts, K. Masterton, M. Fiszman, H. Kilicoglu, and D. Demner-Fushman, “Annotating Question Types for Consumer Health Questions.” https://lhncbc.nlm.nih.gov/LHC-publications/PDF/pub7077.pdf</w:t>
      </w:r>
    </w:p>
    <w:p>
      <w:r>
        <w:t>[9] S. Min et al., “FActScore: Fine-grained Atomic Evaluation of Factual Precision in Long Form Text Generation,” EMNLP, 2023. https://aclanthology.org/2023.emnlp-main.741/</w:t>
      </w:r>
    </w:p>
    <w:p>
      <w:r>
        <w:t>[10] S. Es, J. James, L. Espinosa Anke, and S. Schockaert, “RAGAs: Automated Evaluation of Retrieval Augmented Generation,” EACL System Demonstrations, 2024. https://aclanthology.org/2024.eacl-demo.16/</w:t>
      </w:r>
    </w:p>
    <w:p>
      <w:r>
        <w:t>[11] T. Gao, H. Yen, J. Yu, and D. Chen, “Enabling Large Language Models to Generate Text with Citations,” EMNLP, 2023. https://aclanthology.org/2023.emnlp-main.398/</w:t>
      </w:r>
    </w:p>
    <w:p>
      <w:r>
        <w:t>[12] Qwen Team, “Qwen3.5-9B” model card. https://huggingface.co/Qwen/Qwen3.5-9B</w:t>
      </w:r>
    </w:p>
    <w:p>
      <w:r>
        <w:t>[13] Google, “Gemma 4 model card.” https://ai.google.dev/gemma/docs/core/model_card_4</w:t>
      </w:r>
    </w:p>
    <w:p>
      <w:r>
        <w:t>[14] Y. Liu et al., “G-Eval: NLG Evaluation using Gpt-4 with Better Human Alignment,” EMNLP, 2023. https://aclanthology.org/2023.emnlp-main.153/</w:t>
      </w:r>
    </w:p>
    <w:p>
      <w:r>
        <w:t>[15] C.-Y. Lin, “ROUGE: A Package for Automatic Evaluation of Summaries,” Text Summarization Branches Out, 2004. https://aclanthology.org/W04-1013/</w:t>
      </w:r>
    </w:p>
    <w:p>
      <w:r>
        <w:t>[16] B. Efron and R. Tibshirani, “Bootstrap Methods for Standard Errors, Confidence Intervals, and Other Measures of Statistical Accuracy,” Statistical Science, 1986. https://doi.org/10.1214/ss/1177013815</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Noto Sans CJK TC" w:hAnsi="Noto Sans CJK TC" w:eastAsia="Noto Sans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00" w:lineRule="auto"/>
      <w:outlineLvl w:val="0"/>
    </w:pPr>
    <w:rPr>
      <w:rFonts w:asciiTheme="majorHAnsi" w:eastAsiaTheme="majorEastAsia" w:hAnsiTheme="majorHAnsi" w:cstheme="majorBidi" w:ascii="Noto Sans CJK TC" w:hAnsi="Noto Sans CJK TC" w:eastAsia="Noto Sans CJK TC"/>
      <w:b/>
      <w:bCs/>
      <w:color w:val="173F55"/>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Noto Sans CJK TC" w:hAnsi="Noto Sans CJK TC" w:eastAsia="Noto Sans CJK TC"/>
      <w:b/>
      <w:bCs/>
      <w:color w:val="173F55"/>
      <w:sz w:val="26"/>
      <w:szCs w:val="26"/>
    </w:rPr>
  </w:style>
  <w:style w:type="paragraph" w:styleId="Heading3">
    <w:name w:val="heading 3"/>
    <w:basedOn w:val="Normal"/>
    <w:next w:val="Normal"/>
    <w:link w:val="Heading3Char"/>
    <w:uiPriority w:val="9"/>
    <w:unhideWhenUsed/>
    <w:qFormat/>
    <w:rsid w:val="00FC693F"/>
    <w:pPr>
      <w:keepNext/>
      <w:keepLines/>
      <w:spacing w:before="200" w:after="140" w:line="300" w:lineRule="auto"/>
      <w:outlineLvl w:val="2"/>
    </w:pPr>
    <w:rPr>
      <w:rFonts w:asciiTheme="majorHAnsi" w:eastAsiaTheme="majorEastAsia" w:hAnsiTheme="majorHAnsi" w:cstheme="majorBidi" w:ascii="Noto Sans CJK TC" w:hAnsi="Noto Sans CJK TC" w:eastAsia="Noto Sans CJK TC"/>
      <w:b/>
      <w:bCs/>
      <w:color w:val="173F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00" w:lineRule="auto"/>
      <w:contextualSpacing/>
    </w:pPr>
    <w:rPr>
      <w:rFonts w:asciiTheme="majorHAnsi" w:eastAsiaTheme="majorEastAsia" w:hAnsiTheme="majorHAnsi" w:cstheme="majorBidi" w:ascii="Noto Sans CJK TC" w:hAnsi="Noto Sans CJK TC" w:eastAsia="Noto Sans CJK TC"/>
      <w:b/>
      <w:color w:val="173F5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Noto Sans CJK TC" w:hAnsi="Noto Sans CJK TC" w:eastAsia="Noto Sans CJK TC"/>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Noto Sans CJK TC" w:hAnsi="Noto Sans CJK TC" w:eastAsia="Noto Sans CJK TC"/>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