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40"/>
          <w:szCs w:val="40"/>
        </w:rPr>
        <w:t xml:space="preserve">Aisha Rahman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Senior Product Manager · London, UK · aisha.rahman@example.com · linkedin.com/in/example-aisha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PROFILE</w:t>
      </w:r>
    </w:p>
    <w:p>
      <w:r>
        <w:rPr>
          <w:rFonts w:ascii="Calibri" w:cs="Calibri" w:eastAsia="Calibri" w:hAnsi="Calibri"/>
          <w:sz w:val="21"/>
          <w:szCs w:val="21"/>
        </w:rPr>
        <w:t xml:space="preserve">Product manager with 9 years in B2B SaaS, most recently owning a £12M ARR billing platform. I work from customer interviews and usage data rather than opinion, and I have shipped three products from zero to first paying cohort.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CORE 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Discovery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 interviews, JTBD, opportunity solution trees, usability testing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Delivery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Dual-track agile, story mapping, RICE, roadmapping, stakeholder comms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SQL, Amplitude, Looker, A/B testing, cohort and funnel analysis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Tools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Figma, Jira, Linear, Notion, Miro, Productboard</w:t>
            </w:r>
          </w:p>
        </w:tc>
      </w:tr>
    </w:tbl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EXPERIENCE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Ledgerly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London, UK · Hybrid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Manager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Feb 2022 – Present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Own the billing platform (£12M ARR); grew net revenue retention from 104% to 118% in seven quarters.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Ran 60+ customer interviews that killed a planned invoicing rebuild and redirected two quarters of engineering to dunning, which recovered £1.4M of failed payments in year one.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Introduced weekly usage reviews with support and sales; time-to-first-invoice fell from 9 days to 2.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Kettle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Manchester, UK · Remote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Aug 2018 – Feb 2022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Took the analytics module from zero to 300 paying teams in 18 months.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Cut onboarding drop-off from 61% to 28% by rebuilding the first-run flow around one activation metric.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University of Manchester</w:t>
      </w:r>
      <w:r>
        <w:rPr>
          <w:rFonts w:ascii="Calibri" w:cs="Calibri" w:eastAsia="Calibri" w:hAnsi="Calibri"/>
          <w:sz w:val="21"/>
          <w:szCs w:val="21"/>
        </w:rPr>
        <w:t xml:space="preserve"> — B.A. Economics, 2011–2014</w:t>
      </w:r>
    </w:p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Aisha Rahman — Resume</dc:title>
  <dc:creator>Aisha Rahman</dc:creator>
  <cp:lastModifiedBy>Aisha Rahman</cp:lastModifiedBy>
  <cp:revision>1</cp:revision>
  <dcterms:created xsi:type="dcterms:W3CDTF">2026-09-04T23:16:58.146Z</dcterms:created>
  <dcterms:modified xsi:type="dcterms:W3CDTF">2026-09-04T23:16:58.146Z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