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82" w:rsidRDefault="00407A82" w14:paraId="30B4F6A4" w14:textId="4A7A92EA">
      <w:r w:rsidR="4084DEDB">
        <w:rPr/>
        <w:t>-----------------------------------------------------------------------------------------------------------</w:t>
      </w:r>
    </w:p>
    <w:p w:rsidR="003A3291" w:rsidP="00407A82" w:rsidRDefault="00DF42A6" w14:paraId="2D0B6068" w14:textId="77777777">
      <w:pPr>
        <w:jc w:val="center"/>
      </w:pPr>
      <w:r>
        <w:t>Memorandum</w:t>
      </w:r>
    </w:p>
    <w:p w:rsidR="00DF42A6" w:rsidRDefault="00407A82" w14:paraId="287E47C1" w14:textId="45B7B7A9">
      <w:r w:rsidR="4084DEDB">
        <w:rPr/>
        <w:t>-----------------------------------------------------------------------------------------------------------</w:t>
      </w:r>
    </w:p>
    <w:p w:rsidR="00DF42A6" w:rsidRDefault="002951B5" w14:paraId="0F938604" w14:textId="77777777">
      <w:r>
        <w:t xml:space="preserve">To:     </w:t>
      </w:r>
      <w:r w:rsidR="00DF42A6">
        <w:t xml:space="preserve">  </w:t>
      </w:r>
      <w:r>
        <w:t xml:space="preserve">   </w:t>
      </w:r>
      <w:r w:rsidR="00DF42A6">
        <w:t xml:space="preserve">The CEO of General Casualty Kansas City </w:t>
      </w:r>
    </w:p>
    <w:p w:rsidR="00DF42A6" w:rsidRDefault="00DF42A6" w14:paraId="29890532" w14:textId="77777777">
      <w:r>
        <w:t xml:space="preserve">From: </w:t>
      </w:r>
      <w:r w:rsidR="002951B5">
        <w:t xml:space="preserve">    </w:t>
      </w:r>
      <w:r>
        <w:t>Headley Appollis</w:t>
      </w:r>
    </w:p>
    <w:p w:rsidR="00DF42A6" w:rsidRDefault="00DF42A6" w14:paraId="08991C6B" w14:textId="77777777">
      <w:r>
        <w:t>Subject: Clustering Analysis</w:t>
      </w:r>
    </w:p>
    <w:p w:rsidR="00DF42A6" w:rsidRDefault="00DF42A6" w14:paraId="74E3F2C2" w14:textId="77777777">
      <w:r>
        <w:t xml:space="preserve">Date: </w:t>
      </w:r>
      <w:r w:rsidR="002951B5">
        <w:t xml:space="preserve">      </w:t>
      </w:r>
      <w:r>
        <w:t>December 5, 2017</w:t>
      </w:r>
    </w:p>
    <w:p w:rsidR="00D7797A" w:rsidRDefault="00407A82" w14:paraId="23F3B965" w14:textId="69105457">
      <w:r w:rsidR="4084DEDB">
        <w:rPr/>
        <w:t>-----------------------------------------------------------------------------------------------------------</w:t>
      </w:r>
    </w:p>
    <w:p w:rsidRPr="00407A82" w:rsidR="00407A82" w:rsidRDefault="00407A82" w14:paraId="5BBED869" w14:textId="77777777">
      <w:pPr>
        <w:rPr>
          <w:b/>
        </w:rPr>
      </w:pPr>
      <w:r w:rsidRPr="00407A82">
        <w:rPr>
          <w:b/>
        </w:rPr>
        <w:t>Abstract:</w:t>
      </w:r>
      <w:r w:rsidRPr="00407A82" w:rsidR="008C6098">
        <w:rPr>
          <w:b/>
        </w:rPr>
        <w:t xml:space="preserve"> </w:t>
      </w:r>
    </w:p>
    <w:p w:rsidR="00407A82" w:rsidRDefault="00407A82" w14:paraId="4886B3C8" w14:textId="77777777"/>
    <w:p w:rsidR="008C6098" w:rsidRDefault="008C6098" w14:paraId="581C288A" w14:noSpellErr="1" w14:textId="00A1BF4A">
      <w:r w:rsidR="4084DEDB">
        <w:rPr/>
        <w:t xml:space="preserve">How </w:t>
      </w:r>
      <w:r w:rsidR="4084DEDB">
        <w:rPr/>
        <w:t>c</w:t>
      </w:r>
      <w:r w:rsidR="4084DEDB">
        <w:rPr/>
        <w:t xml:space="preserve">an </w:t>
      </w:r>
      <w:r w:rsidR="4084DEDB">
        <w:rPr/>
        <w:t xml:space="preserve">the </w:t>
      </w:r>
      <w:r w:rsidR="4084DEDB">
        <w:rPr/>
        <w:t xml:space="preserve">clients </w:t>
      </w:r>
      <w:r w:rsidR="4084DEDB">
        <w:rPr/>
        <w:t>be segmented</w:t>
      </w:r>
      <w:r w:rsidR="4084DEDB">
        <w:rPr/>
        <w:t xml:space="preserve"> </w:t>
      </w:r>
      <w:r w:rsidR="4084DEDB">
        <w:rPr/>
        <w:t>in</w:t>
      </w:r>
      <w:r w:rsidR="4084DEDB">
        <w:rPr/>
        <w:t xml:space="preserve"> the crash dataset that can ultimately assist us in making better pricing decisions? How can the data assist us in choosing which region to penetrate next as we would like to go </w:t>
      </w:r>
      <w:r w:rsidR="4084DEDB">
        <w:rPr/>
        <w:t>nation</w:t>
      </w:r>
      <w:r w:rsidR="4084DEDB">
        <w:rPr/>
        <w:t>wide</w:t>
      </w:r>
      <w:r w:rsidR="4084DEDB">
        <w:rPr/>
        <w:t xml:space="preserve"> with this product?</w:t>
      </w:r>
    </w:p>
    <w:p w:rsidR="008C6098" w:rsidRDefault="008C6098" w14:paraId="4B4C0F99" w14:textId="77777777"/>
    <w:p w:rsidRPr="00407A82" w:rsidR="00407A82" w:rsidP="002B4C84" w:rsidRDefault="00407A82" w14:paraId="72ABCA6F" w14:textId="69CCF0A3">
      <w:pPr>
        <w:rPr>
          <w:b/>
        </w:rPr>
      </w:pPr>
      <w:r w:rsidRPr="00407A82">
        <w:rPr>
          <w:b/>
        </w:rPr>
        <w:t>Overview of the data:</w:t>
      </w:r>
    </w:p>
    <w:p w:rsidR="00407A82" w:rsidP="002B4C84" w:rsidRDefault="00407A82" w14:paraId="4381E8CE" w14:textId="77777777"/>
    <w:p w:rsidR="00DF42A6" w:rsidP="002B4C84" w:rsidRDefault="00D7797A" w14:paraId="3FFF35C7" w14:noSpellErr="1" w14:textId="54E0D958">
      <w:r w:rsidR="4084DEDB">
        <w:rPr/>
        <w:t xml:space="preserve">I have analyzed the crash data set and </w:t>
      </w:r>
      <w:r w:rsidR="4084DEDB">
        <w:rPr/>
        <w:t>d</w:t>
      </w:r>
      <w:r w:rsidR="4084DEDB">
        <w:rPr/>
        <w:t>ue to the nature of the data</w:t>
      </w:r>
      <w:r w:rsidR="4084DEDB">
        <w:rPr/>
        <w:t>,</w:t>
      </w:r>
      <w:r w:rsidR="4084DEDB">
        <w:rPr/>
        <w:t xml:space="preserve"> I had to perform </w:t>
      </w:r>
      <w:r w:rsidR="4084DEDB">
        <w:rPr/>
        <w:t>data analysis</w:t>
      </w:r>
      <w:r w:rsidR="4084DEDB">
        <w:rPr/>
        <w:t xml:space="preserve"> by using various techniques</w:t>
      </w:r>
      <w:r w:rsidR="4084DEDB">
        <w:rPr/>
        <w:t>. There were some interesting trends in the data</w:t>
      </w:r>
      <w:r w:rsidR="4084DEDB">
        <w:rPr/>
        <w:t xml:space="preserve">, e.g. most accidents happened in the first quarter of the </w:t>
      </w:r>
      <w:r w:rsidR="4084DEDB">
        <w:rPr/>
        <w:t>year</w:t>
      </w:r>
      <w:r w:rsidR="4084DEDB">
        <w:rPr/>
        <w:t xml:space="preserve"> during the </w:t>
      </w:r>
      <w:r w:rsidR="4084DEDB">
        <w:rPr/>
        <w:t>winter months</w:t>
      </w:r>
      <w:r w:rsidR="4084DEDB">
        <w:rPr/>
        <w:t xml:space="preserve"> and</w:t>
      </w:r>
      <w:r w:rsidR="4084DEDB">
        <w:rPr/>
        <w:t xml:space="preserve"> in rural areas</w:t>
      </w:r>
      <w:r w:rsidR="4084DEDB">
        <w:rPr/>
        <w:t xml:space="preserve">. The </w:t>
      </w:r>
      <w:r w:rsidR="4084DEDB">
        <w:rPr/>
        <w:t>more obvious trends</w:t>
      </w:r>
      <w:r w:rsidR="4084DEDB">
        <w:rPr/>
        <w:t xml:space="preserve"> that were evident, i</w:t>
      </w:r>
      <w:r w:rsidR="4084DEDB">
        <w:rPr/>
        <w:t>.e</w:t>
      </w:r>
      <w:r w:rsidR="4084DEDB">
        <w:rPr/>
        <w:t>. 65% of drivers were male, and most accidents happened to</w:t>
      </w:r>
      <w:r w:rsidR="4084DEDB">
        <w:rPr/>
        <w:t xml:space="preserve"> drivers younger than 36 years</w:t>
      </w:r>
      <w:r w:rsidR="4084DEDB">
        <w:rPr/>
        <w:t>,</w:t>
      </w:r>
      <w:r w:rsidR="4084DEDB">
        <w:rPr/>
        <w:t xml:space="preserve"> </w:t>
      </w:r>
      <w:r w:rsidR="4084DEDB">
        <w:rPr/>
        <w:t xml:space="preserve">and </w:t>
      </w:r>
      <w:r w:rsidR="4084DEDB">
        <w:rPr/>
        <w:t>predominantly over weekends.</w:t>
      </w:r>
    </w:p>
    <w:p w:rsidR="00090227" w:rsidRDefault="00090227" w14:paraId="3CBEDAED" w14:textId="77777777"/>
    <w:p w:rsidRPr="00407A82" w:rsidR="00407A82" w:rsidRDefault="00407A82" w14:paraId="76389A31" w14:textId="78815BA9">
      <w:pPr>
        <w:rPr>
          <w:b/>
        </w:rPr>
      </w:pPr>
      <w:r w:rsidRPr="00407A82">
        <w:rPr>
          <w:b/>
        </w:rPr>
        <w:t xml:space="preserve">Analysis summary and key findings: </w:t>
      </w:r>
    </w:p>
    <w:p w:rsidR="00407A82" w:rsidRDefault="00407A82" w14:paraId="7480491A" w14:textId="77777777"/>
    <w:p w:rsidR="00090227" w:rsidRDefault="00090227" w14:paraId="00E18274" w14:textId="77777777">
      <w:r>
        <w:t xml:space="preserve">By conducting a cluster analysis on the crash data, the following were concluded. I found that was five (5) </w:t>
      </w:r>
      <w:r w:rsidR="002951B5">
        <w:t xml:space="preserve">statistically </w:t>
      </w:r>
      <w:r>
        <w:t xml:space="preserve">distinct groups within the data. </w:t>
      </w:r>
      <w:r w:rsidR="002951B5">
        <w:t xml:space="preserve">The groups were relatively the same </w:t>
      </w:r>
      <w:r w:rsidR="002B4C84">
        <w:t xml:space="preserve">size </w:t>
      </w:r>
      <w:r w:rsidR="002951B5">
        <w:t xml:space="preserve">except for one smaller group, however there are still distinct differenced amongst the groups and strong similarities within the groups. </w:t>
      </w:r>
    </w:p>
    <w:p w:rsidR="008C6098" w:rsidP="00DF42A6" w:rsidRDefault="008C6098" w14:paraId="66565323" w14:textId="77777777"/>
    <w:p w:rsidR="00DF42A6" w:rsidP="00DF42A6" w:rsidRDefault="00DF42A6" w14:paraId="18C04BFF" w14:textId="77777777">
      <w:pPr>
        <w:rPr>
          <w:rFonts w:ascii="Times New Roman" w:hAnsi="Times New Roman" w:cs="Times New Roman"/>
        </w:rPr>
      </w:pPr>
      <w:r>
        <w:rPr>
          <w:rFonts w:ascii="Times New Roman" w:hAnsi="Times New Roman" w:cs="Times New Roman"/>
        </w:rPr>
        <w:t xml:space="preserve">The characteristics of the </w:t>
      </w:r>
      <w:r w:rsidR="00A07F0A">
        <w:rPr>
          <w:rFonts w:ascii="Times New Roman" w:hAnsi="Times New Roman" w:cs="Times New Roman"/>
        </w:rPr>
        <w:t>five</w:t>
      </w:r>
      <w:r>
        <w:rPr>
          <w:rFonts w:ascii="Times New Roman" w:hAnsi="Times New Roman" w:cs="Times New Roman"/>
        </w:rPr>
        <w:t xml:space="preserve"> clusters is: </w:t>
      </w:r>
    </w:p>
    <w:p w:rsidRPr="00546094" w:rsidR="00DF42A6" w:rsidP="00DF42A6" w:rsidRDefault="00DF42A6" w14:paraId="24303241" w14:textId="77777777">
      <w:pPr>
        <w:rPr>
          <w:rFonts w:ascii="Times New Roman" w:hAnsi="Times New Roman" w:cs="Times New Roman"/>
        </w:rPr>
      </w:pPr>
    </w:p>
    <w:p w:rsidRPr="008C6098" w:rsidR="00DF42A6" w:rsidP="008C6098" w:rsidRDefault="00DF42A6" w14:paraId="6804BF6D" w14:textId="7D1802B1">
      <w:pPr>
        <w:pStyle w:val="ListParagraph"/>
        <w:numPr>
          <w:ilvl w:val="0"/>
          <w:numId w:val="1"/>
        </w:numPr>
        <w:rPr>
          <w:rFonts w:ascii="Times New Roman" w:hAnsi="Times New Roman" w:cs="Times New Roman"/>
        </w:rPr>
      </w:pPr>
      <w:r w:rsidRPr="008C6098">
        <w:rPr>
          <w:rFonts w:ascii="Times New Roman" w:hAnsi="Times New Roman" w:cs="Times New Roman"/>
          <w:u w:val="single"/>
        </w:rPr>
        <w:t>Cluster 1</w:t>
      </w:r>
      <w:r w:rsidRPr="008C6098">
        <w:rPr>
          <w:rFonts w:ascii="Times New Roman" w:hAnsi="Times New Roman" w:cs="Times New Roman"/>
        </w:rPr>
        <w:t xml:space="preserve"> (</w:t>
      </w:r>
      <w:r w:rsidR="008C6098">
        <w:rPr>
          <w:rFonts w:ascii="Times New Roman" w:hAnsi="Times New Roman" w:cs="Times New Roman"/>
        </w:rPr>
        <w:t>534</w:t>
      </w:r>
      <w:r w:rsidRPr="008C6098">
        <w:rPr>
          <w:rFonts w:ascii="Times New Roman" w:hAnsi="Times New Roman" w:cs="Times New Roman"/>
        </w:rPr>
        <w:t xml:space="preserve"> crashes): </w:t>
      </w:r>
      <w:r w:rsidR="00A07F0A">
        <w:rPr>
          <w:rFonts w:ascii="Times New Roman" w:hAnsi="Times New Roman" w:cs="Times New Roman"/>
        </w:rPr>
        <w:t xml:space="preserve">Accidents happened on </w:t>
      </w:r>
      <w:r w:rsidRPr="008C6098">
        <w:rPr>
          <w:rFonts w:ascii="Times New Roman" w:hAnsi="Times New Roman" w:cs="Times New Roman"/>
        </w:rPr>
        <w:t>rural road</w:t>
      </w:r>
      <w:r w:rsidR="00A07F0A">
        <w:rPr>
          <w:rFonts w:ascii="Times New Roman" w:hAnsi="Times New Roman" w:cs="Times New Roman"/>
        </w:rPr>
        <w:t>s</w:t>
      </w:r>
      <w:r w:rsidRPr="008C6098">
        <w:rPr>
          <w:rFonts w:ascii="Times New Roman" w:hAnsi="Times New Roman" w:cs="Times New Roman"/>
        </w:rPr>
        <w:t xml:space="preserve">, </w:t>
      </w:r>
      <w:r w:rsidR="00A07F0A">
        <w:rPr>
          <w:rFonts w:ascii="Times New Roman" w:hAnsi="Times New Roman" w:cs="Times New Roman"/>
        </w:rPr>
        <w:t xml:space="preserve">in cloudy conditions, with young female </w:t>
      </w:r>
      <w:r w:rsidRPr="008C6098">
        <w:rPr>
          <w:rFonts w:ascii="Times New Roman" w:hAnsi="Times New Roman" w:cs="Times New Roman"/>
        </w:rPr>
        <w:t>driver</w:t>
      </w:r>
      <w:r w:rsidR="00A07F0A">
        <w:rPr>
          <w:rFonts w:ascii="Times New Roman" w:hAnsi="Times New Roman" w:cs="Times New Roman"/>
        </w:rPr>
        <w:t>s</w:t>
      </w:r>
      <w:r w:rsidRPr="008C6098">
        <w:rPr>
          <w:rFonts w:ascii="Times New Roman" w:hAnsi="Times New Roman" w:cs="Times New Roman"/>
        </w:rPr>
        <w:t xml:space="preserve"> </w:t>
      </w:r>
      <w:r w:rsidR="00A07F0A">
        <w:rPr>
          <w:rFonts w:ascii="Times New Roman" w:hAnsi="Times New Roman" w:cs="Times New Roman"/>
        </w:rPr>
        <w:t>age 36 and below</w:t>
      </w:r>
      <w:r w:rsidRPr="008C6098">
        <w:rPr>
          <w:rFonts w:ascii="Times New Roman" w:hAnsi="Times New Roman" w:cs="Times New Roman"/>
        </w:rPr>
        <w:t>,</w:t>
      </w:r>
      <w:r w:rsidR="00A9174C">
        <w:rPr>
          <w:rFonts w:ascii="Times New Roman" w:hAnsi="Times New Roman" w:cs="Times New Roman"/>
        </w:rPr>
        <w:t xml:space="preserve"> the</w:t>
      </w:r>
      <w:r w:rsidRPr="008C6098">
        <w:rPr>
          <w:rFonts w:ascii="Times New Roman" w:hAnsi="Times New Roman" w:cs="Times New Roman"/>
        </w:rPr>
        <w:t xml:space="preserve"> </w:t>
      </w:r>
      <w:r w:rsidR="0004345C">
        <w:rPr>
          <w:rFonts w:ascii="Times New Roman" w:hAnsi="Times New Roman" w:cs="Times New Roman"/>
        </w:rPr>
        <w:t>driver was injured;</w:t>
      </w:r>
      <w:r w:rsidRPr="008C6098">
        <w:rPr>
          <w:rFonts w:ascii="Times New Roman" w:hAnsi="Times New Roman" w:cs="Times New Roman"/>
        </w:rPr>
        <w:t xml:space="preserve"> the group is associated with serious injuries</w:t>
      </w:r>
      <w:r w:rsidR="0004345C">
        <w:rPr>
          <w:rFonts w:ascii="Times New Roman" w:hAnsi="Times New Roman" w:cs="Times New Roman"/>
        </w:rPr>
        <w:t xml:space="preserve"> that happened around the middle of the month.</w:t>
      </w:r>
      <w:r w:rsidRPr="008C6098">
        <w:rPr>
          <w:rFonts w:ascii="Times New Roman" w:hAnsi="Times New Roman" w:cs="Times New Roman"/>
        </w:rPr>
        <w:t xml:space="preserve"> </w:t>
      </w:r>
    </w:p>
    <w:p w:rsidR="00DF42A6" w:rsidP="00DF42A6" w:rsidRDefault="00DF42A6" w14:paraId="1930B44F" w14:textId="77777777">
      <w:pPr>
        <w:rPr>
          <w:rFonts w:ascii="Times New Roman" w:hAnsi="Times New Roman" w:cs="Times New Roman"/>
          <w:u w:val="single"/>
        </w:rPr>
      </w:pPr>
    </w:p>
    <w:p w:rsidR="00DF42A6" w:rsidP="00DF42A6" w:rsidRDefault="00DF42A6" w14:paraId="1EF72D65" w14:textId="0AC4E4A4">
      <w:pPr>
        <w:pStyle w:val="ListParagraph"/>
        <w:numPr>
          <w:ilvl w:val="0"/>
          <w:numId w:val="1"/>
        </w:numPr>
        <w:rPr>
          <w:rFonts w:ascii="Times New Roman" w:hAnsi="Times New Roman" w:cs="Times New Roman"/>
        </w:rPr>
      </w:pPr>
      <w:r w:rsidRPr="008C6098">
        <w:rPr>
          <w:rFonts w:ascii="Times New Roman" w:hAnsi="Times New Roman" w:cs="Times New Roman"/>
          <w:u w:val="single"/>
        </w:rPr>
        <w:t>Cluster 2</w:t>
      </w:r>
      <w:r w:rsidRPr="008C6098">
        <w:rPr>
          <w:rFonts w:ascii="Times New Roman" w:hAnsi="Times New Roman" w:cs="Times New Roman"/>
        </w:rPr>
        <w:t xml:space="preserve"> (</w:t>
      </w:r>
      <w:r w:rsidR="008C6098">
        <w:rPr>
          <w:rFonts w:ascii="Times New Roman" w:hAnsi="Times New Roman" w:cs="Times New Roman"/>
        </w:rPr>
        <w:t>877</w:t>
      </w:r>
      <w:r w:rsidRPr="008C6098">
        <w:rPr>
          <w:rFonts w:ascii="Times New Roman" w:hAnsi="Times New Roman" w:cs="Times New Roman"/>
        </w:rPr>
        <w:t xml:space="preserve"> crashes): </w:t>
      </w:r>
      <w:r w:rsidR="0004345C">
        <w:rPr>
          <w:rFonts w:ascii="Times New Roman" w:hAnsi="Times New Roman" w:cs="Times New Roman"/>
        </w:rPr>
        <w:t xml:space="preserve">Accidents happened on </w:t>
      </w:r>
      <w:r w:rsidRPr="008C6098" w:rsidR="0004345C">
        <w:rPr>
          <w:rFonts w:ascii="Times New Roman" w:hAnsi="Times New Roman" w:cs="Times New Roman"/>
        </w:rPr>
        <w:t>rural road</w:t>
      </w:r>
      <w:r w:rsidR="0004345C">
        <w:rPr>
          <w:rFonts w:ascii="Times New Roman" w:hAnsi="Times New Roman" w:cs="Times New Roman"/>
        </w:rPr>
        <w:t>s</w:t>
      </w:r>
      <w:r w:rsidRPr="008C6098" w:rsidR="0004345C">
        <w:rPr>
          <w:rFonts w:ascii="Times New Roman" w:hAnsi="Times New Roman" w:cs="Times New Roman"/>
        </w:rPr>
        <w:t xml:space="preserve">, </w:t>
      </w:r>
      <w:r w:rsidR="0004345C">
        <w:rPr>
          <w:rFonts w:ascii="Times New Roman" w:hAnsi="Times New Roman" w:cs="Times New Roman"/>
        </w:rPr>
        <w:t xml:space="preserve">in clear conditions, with young male </w:t>
      </w:r>
      <w:r w:rsidRPr="008C6098" w:rsidR="0004345C">
        <w:rPr>
          <w:rFonts w:ascii="Times New Roman" w:hAnsi="Times New Roman" w:cs="Times New Roman"/>
        </w:rPr>
        <w:t>driver</w:t>
      </w:r>
      <w:r w:rsidR="0004345C">
        <w:rPr>
          <w:rFonts w:ascii="Times New Roman" w:hAnsi="Times New Roman" w:cs="Times New Roman"/>
        </w:rPr>
        <w:t>s</w:t>
      </w:r>
      <w:r w:rsidRPr="008C6098" w:rsidR="0004345C">
        <w:rPr>
          <w:rFonts w:ascii="Times New Roman" w:hAnsi="Times New Roman" w:cs="Times New Roman"/>
        </w:rPr>
        <w:t xml:space="preserve"> </w:t>
      </w:r>
      <w:r w:rsidR="0004345C">
        <w:rPr>
          <w:rFonts w:ascii="Times New Roman" w:hAnsi="Times New Roman" w:cs="Times New Roman"/>
        </w:rPr>
        <w:t>age 36 and below</w:t>
      </w:r>
      <w:r w:rsidRPr="008C6098" w:rsidR="0004345C">
        <w:rPr>
          <w:rFonts w:ascii="Times New Roman" w:hAnsi="Times New Roman" w:cs="Times New Roman"/>
        </w:rPr>
        <w:t xml:space="preserve">, </w:t>
      </w:r>
      <w:r w:rsidR="00A9174C">
        <w:rPr>
          <w:rFonts w:ascii="Times New Roman" w:hAnsi="Times New Roman" w:cs="Times New Roman"/>
        </w:rPr>
        <w:t xml:space="preserve">the </w:t>
      </w:r>
      <w:r w:rsidR="0004345C">
        <w:rPr>
          <w:rFonts w:ascii="Times New Roman" w:hAnsi="Times New Roman" w:cs="Times New Roman"/>
        </w:rPr>
        <w:t>passenger was injured;</w:t>
      </w:r>
      <w:r w:rsidRPr="008C6098" w:rsidR="0004345C">
        <w:rPr>
          <w:rFonts w:ascii="Times New Roman" w:hAnsi="Times New Roman" w:cs="Times New Roman"/>
        </w:rPr>
        <w:t xml:space="preserve"> the group is associated with serious injuries</w:t>
      </w:r>
      <w:r w:rsidR="0004345C">
        <w:rPr>
          <w:rFonts w:ascii="Times New Roman" w:hAnsi="Times New Roman" w:cs="Times New Roman"/>
        </w:rPr>
        <w:t xml:space="preserve"> that happened around the 24th of the month.</w:t>
      </w:r>
    </w:p>
    <w:p w:rsidRPr="00A9174C" w:rsidR="00A9174C" w:rsidP="00A9174C" w:rsidRDefault="00A9174C" w14:paraId="2E00D29E" w14:textId="77777777">
      <w:pPr>
        <w:rPr>
          <w:rFonts w:ascii="Times New Roman" w:hAnsi="Times New Roman" w:cs="Times New Roman"/>
        </w:rPr>
      </w:pPr>
    </w:p>
    <w:p w:rsidR="008C6098" w:rsidP="00DF42A6" w:rsidRDefault="00DF42A6" w14:paraId="75E60ECA" w14:textId="3E84179C">
      <w:pPr>
        <w:pStyle w:val="ListParagraph"/>
        <w:numPr>
          <w:ilvl w:val="0"/>
          <w:numId w:val="1"/>
        </w:numPr>
        <w:rPr>
          <w:rFonts w:ascii="Times New Roman" w:hAnsi="Times New Roman" w:cs="Times New Roman"/>
        </w:rPr>
      </w:pPr>
      <w:r w:rsidRPr="008C6098">
        <w:rPr>
          <w:rFonts w:ascii="Times New Roman" w:hAnsi="Times New Roman" w:cs="Times New Roman"/>
          <w:u w:val="single"/>
        </w:rPr>
        <w:t>Cluster 3</w:t>
      </w:r>
      <w:r w:rsidRPr="008C6098">
        <w:rPr>
          <w:rFonts w:ascii="Times New Roman" w:hAnsi="Times New Roman" w:cs="Times New Roman"/>
        </w:rPr>
        <w:t xml:space="preserve"> (</w:t>
      </w:r>
      <w:r w:rsidR="008C6098">
        <w:rPr>
          <w:rFonts w:ascii="Times New Roman" w:hAnsi="Times New Roman" w:cs="Times New Roman"/>
        </w:rPr>
        <w:t>1374</w:t>
      </w:r>
      <w:r w:rsidRPr="008C6098">
        <w:rPr>
          <w:rFonts w:ascii="Times New Roman" w:hAnsi="Times New Roman" w:cs="Times New Roman"/>
        </w:rPr>
        <w:t xml:space="preserve"> crashes): </w:t>
      </w:r>
      <w:r w:rsidR="0004345C">
        <w:rPr>
          <w:rFonts w:ascii="Times New Roman" w:hAnsi="Times New Roman" w:cs="Times New Roman"/>
        </w:rPr>
        <w:t>Accidents happened on urban</w:t>
      </w:r>
      <w:r w:rsidRPr="008C6098" w:rsidR="0004345C">
        <w:rPr>
          <w:rFonts w:ascii="Times New Roman" w:hAnsi="Times New Roman" w:cs="Times New Roman"/>
        </w:rPr>
        <w:t xml:space="preserve"> road</w:t>
      </w:r>
      <w:r w:rsidR="0004345C">
        <w:rPr>
          <w:rFonts w:ascii="Times New Roman" w:hAnsi="Times New Roman" w:cs="Times New Roman"/>
        </w:rPr>
        <w:t>s</w:t>
      </w:r>
      <w:r w:rsidRPr="008C6098" w:rsidR="0004345C">
        <w:rPr>
          <w:rFonts w:ascii="Times New Roman" w:hAnsi="Times New Roman" w:cs="Times New Roman"/>
        </w:rPr>
        <w:t xml:space="preserve">, </w:t>
      </w:r>
      <w:r w:rsidR="0004345C">
        <w:rPr>
          <w:rFonts w:ascii="Times New Roman" w:hAnsi="Times New Roman" w:cs="Times New Roman"/>
        </w:rPr>
        <w:t xml:space="preserve">in clear conditions, with young male </w:t>
      </w:r>
      <w:r w:rsidRPr="008C6098" w:rsidR="0004345C">
        <w:rPr>
          <w:rFonts w:ascii="Times New Roman" w:hAnsi="Times New Roman" w:cs="Times New Roman"/>
        </w:rPr>
        <w:t>driver</w:t>
      </w:r>
      <w:r w:rsidR="0004345C">
        <w:rPr>
          <w:rFonts w:ascii="Times New Roman" w:hAnsi="Times New Roman" w:cs="Times New Roman"/>
        </w:rPr>
        <w:t>s</w:t>
      </w:r>
      <w:r w:rsidRPr="008C6098" w:rsidR="0004345C">
        <w:rPr>
          <w:rFonts w:ascii="Times New Roman" w:hAnsi="Times New Roman" w:cs="Times New Roman"/>
        </w:rPr>
        <w:t xml:space="preserve"> </w:t>
      </w:r>
      <w:r w:rsidR="0004345C">
        <w:rPr>
          <w:rFonts w:ascii="Times New Roman" w:hAnsi="Times New Roman" w:cs="Times New Roman"/>
        </w:rPr>
        <w:t>age 36 and below</w:t>
      </w:r>
      <w:r w:rsidRPr="008C6098" w:rsidR="0004345C">
        <w:rPr>
          <w:rFonts w:ascii="Times New Roman" w:hAnsi="Times New Roman" w:cs="Times New Roman"/>
        </w:rPr>
        <w:t xml:space="preserve">, </w:t>
      </w:r>
      <w:r w:rsidR="00A9174C">
        <w:rPr>
          <w:rFonts w:ascii="Times New Roman" w:hAnsi="Times New Roman" w:cs="Times New Roman"/>
        </w:rPr>
        <w:t xml:space="preserve">the </w:t>
      </w:r>
      <w:r w:rsidR="0004345C">
        <w:rPr>
          <w:rFonts w:ascii="Times New Roman" w:hAnsi="Times New Roman" w:cs="Times New Roman"/>
        </w:rPr>
        <w:t>driver was injured;</w:t>
      </w:r>
      <w:r w:rsidRPr="008C6098" w:rsidR="0004345C">
        <w:rPr>
          <w:rFonts w:ascii="Times New Roman" w:hAnsi="Times New Roman" w:cs="Times New Roman"/>
        </w:rPr>
        <w:t xml:space="preserve"> the group is associated with serious injuries</w:t>
      </w:r>
      <w:r w:rsidR="0004345C">
        <w:rPr>
          <w:rFonts w:ascii="Times New Roman" w:hAnsi="Times New Roman" w:cs="Times New Roman"/>
        </w:rPr>
        <w:t xml:space="preserve"> that happened around the 5th of the month.</w:t>
      </w:r>
    </w:p>
    <w:p w:rsidRPr="002B34B2" w:rsidR="002B34B2" w:rsidP="002B34B2" w:rsidRDefault="002B34B2" w14:paraId="78FC5984" w14:textId="77777777">
      <w:pPr>
        <w:rPr>
          <w:rFonts w:ascii="Times New Roman" w:hAnsi="Times New Roman" w:cs="Times New Roman"/>
        </w:rPr>
      </w:pPr>
    </w:p>
    <w:p w:rsidRPr="002B34B2" w:rsidR="008C6098" w:rsidP="008C6098" w:rsidRDefault="008C6098" w14:paraId="40ABEB47" w14:textId="3B9CFBF9">
      <w:pPr>
        <w:pStyle w:val="ListParagraph"/>
        <w:numPr>
          <w:ilvl w:val="0"/>
          <w:numId w:val="1"/>
        </w:numPr>
        <w:rPr>
          <w:rFonts w:ascii="Times New Roman" w:hAnsi="Times New Roman" w:cs="Times New Roman"/>
        </w:rPr>
      </w:pPr>
      <w:r w:rsidRPr="4084DEDB" w:rsidR="4084DEDB">
        <w:rPr>
          <w:rFonts w:ascii="Times New Roman" w:hAnsi="Times New Roman" w:cs="Times New Roman"/>
          <w:u w:val="single"/>
        </w:rPr>
        <w:t>Cluster 4</w:t>
      </w:r>
      <w:r w:rsidRPr="4084DEDB" w:rsidR="4084DEDB">
        <w:rPr>
          <w:rFonts w:ascii="Times New Roman" w:hAnsi="Times New Roman" w:cs="Times New Roman"/>
        </w:rPr>
        <w:t xml:space="preserve"> (1136 crashes): </w:t>
      </w:r>
      <w:r w:rsidRPr="4084DEDB" w:rsidR="4084DEDB">
        <w:rPr>
          <w:rFonts w:ascii="Times New Roman" w:hAnsi="Times New Roman" w:cs="Times New Roman"/>
        </w:rPr>
        <w:t xml:space="preserve">Accidents happened on </w:t>
      </w:r>
      <w:r w:rsidRPr="4084DEDB" w:rsidR="4084DEDB">
        <w:rPr>
          <w:rFonts w:ascii="Times New Roman" w:hAnsi="Times New Roman" w:cs="Times New Roman"/>
        </w:rPr>
        <w:t>rural road</w:t>
      </w:r>
      <w:r w:rsidRPr="4084DEDB" w:rsidR="4084DEDB">
        <w:rPr>
          <w:rFonts w:ascii="Times New Roman" w:hAnsi="Times New Roman" w:cs="Times New Roman"/>
        </w:rPr>
        <w:t>s</w:t>
      </w:r>
      <w:r w:rsidRPr="4084DEDB" w:rsidR="4084DEDB">
        <w:rPr>
          <w:rFonts w:ascii="Times New Roman" w:hAnsi="Times New Roman" w:cs="Times New Roman"/>
        </w:rPr>
        <w:t xml:space="preserve">, </w:t>
      </w:r>
      <w:r w:rsidRPr="4084DEDB" w:rsidR="4084DEDB">
        <w:rPr>
          <w:rFonts w:ascii="Times New Roman" w:hAnsi="Times New Roman" w:cs="Times New Roman"/>
        </w:rPr>
        <w:t xml:space="preserve">in clear conditions, with young male </w:t>
      </w:r>
      <w:r w:rsidRPr="4084DEDB" w:rsidR="4084DEDB">
        <w:rPr>
          <w:rFonts w:ascii="Times New Roman" w:hAnsi="Times New Roman" w:cs="Times New Roman"/>
        </w:rPr>
        <w:t>driver</w:t>
      </w:r>
      <w:r w:rsidRPr="4084DEDB" w:rsidR="4084DEDB">
        <w:rPr>
          <w:rFonts w:ascii="Times New Roman" w:hAnsi="Times New Roman" w:cs="Times New Roman"/>
        </w:rPr>
        <w:t>s</w:t>
      </w:r>
      <w:r w:rsidRPr="4084DEDB" w:rsidR="4084DEDB">
        <w:rPr>
          <w:rFonts w:ascii="Times New Roman" w:hAnsi="Times New Roman" w:cs="Times New Roman"/>
        </w:rPr>
        <w:t xml:space="preserve"> </w:t>
      </w:r>
      <w:r w:rsidRPr="4084DEDB" w:rsidR="4084DEDB">
        <w:rPr>
          <w:rFonts w:ascii="Times New Roman" w:hAnsi="Times New Roman" w:cs="Times New Roman"/>
        </w:rPr>
        <w:t>age 36 and below</w:t>
      </w:r>
      <w:r w:rsidRPr="4084DEDB" w:rsidR="4084DEDB">
        <w:rPr>
          <w:rFonts w:ascii="Times New Roman" w:hAnsi="Times New Roman" w:cs="Times New Roman"/>
        </w:rPr>
        <w:t xml:space="preserve">, </w:t>
      </w:r>
      <w:r w:rsidRPr="4084DEDB" w:rsidR="4084DEDB">
        <w:rPr>
          <w:rFonts w:ascii="Times New Roman" w:hAnsi="Times New Roman" w:cs="Times New Roman"/>
        </w:rPr>
        <w:t>driver was injured;</w:t>
      </w:r>
      <w:r w:rsidRPr="4084DEDB" w:rsidR="4084DEDB">
        <w:rPr>
          <w:rFonts w:ascii="Times New Roman" w:hAnsi="Times New Roman" w:cs="Times New Roman"/>
        </w:rPr>
        <w:t xml:space="preserve"> the group is associated with serious injuries</w:t>
      </w:r>
      <w:r w:rsidRPr="4084DEDB" w:rsidR="4084DEDB">
        <w:rPr>
          <w:rFonts w:ascii="Times New Roman" w:hAnsi="Times New Roman" w:cs="Times New Roman"/>
        </w:rPr>
        <w:t xml:space="preserve"> that happened around 7th of the month.</w:t>
      </w:r>
    </w:p>
    <w:p w:rsidR="4084DEDB" w:rsidP="4084DEDB" w:rsidRDefault="4084DEDB" w14:noSpellErr="1" w14:paraId="2CF349B9" w14:textId="41AF891F">
      <w:pPr>
        <w:pStyle w:val="Normal"/>
        <w:ind w:left="0"/>
        <w:rPr>
          <w:rFonts w:ascii="Times New Roman" w:hAnsi="Times New Roman" w:cs="Times New Roman"/>
          <w:u w:val="single"/>
        </w:rPr>
      </w:pPr>
    </w:p>
    <w:p w:rsidR="00A07F0A" w:rsidP="00A07F0A" w:rsidRDefault="008C6098" w14:paraId="1E6DC914" w14:textId="6C8A7FB4">
      <w:pPr>
        <w:pStyle w:val="ListParagraph"/>
        <w:numPr>
          <w:ilvl w:val="0"/>
          <w:numId w:val="1"/>
        </w:numPr>
        <w:rPr>
          <w:rFonts w:ascii="Times New Roman" w:hAnsi="Times New Roman" w:cs="Times New Roman"/>
        </w:rPr>
      </w:pPr>
      <w:r w:rsidRPr="008C6098">
        <w:rPr>
          <w:rFonts w:ascii="Times New Roman" w:hAnsi="Times New Roman" w:cs="Times New Roman"/>
          <w:u w:val="single"/>
        </w:rPr>
        <w:lastRenderedPageBreak/>
        <w:t>Cluster 5</w:t>
      </w:r>
      <w:r>
        <w:rPr>
          <w:rFonts w:ascii="Times New Roman" w:hAnsi="Times New Roman" w:cs="Times New Roman"/>
        </w:rPr>
        <w:t xml:space="preserve"> (1078 crashes)</w:t>
      </w:r>
      <w:r w:rsidR="0004345C">
        <w:rPr>
          <w:rFonts w:ascii="Times New Roman" w:hAnsi="Times New Roman" w:cs="Times New Roman"/>
        </w:rPr>
        <w:t xml:space="preserve">: Accidents happened on </w:t>
      </w:r>
      <w:r w:rsidRPr="008C6098" w:rsidR="0004345C">
        <w:rPr>
          <w:rFonts w:ascii="Times New Roman" w:hAnsi="Times New Roman" w:cs="Times New Roman"/>
        </w:rPr>
        <w:t>rural road</w:t>
      </w:r>
      <w:r w:rsidR="0004345C">
        <w:rPr>
          <w:rFonts w:ascii="Times New Roman" w:hAnsi="Times New Roman" w:cs="Times New Roman"/>
        </w:rPr>
        <w:t>s</w:t>
      </w:r>
      <w:r w:rsidRPr="008C6098" w:rsidR="0004345C">
        <w:rPr>
          <w:rFonts w:ascii="Times New Roman" w:hAnsi="Times New Roman" w:cs="Times New Roman"/>
        </w:rPr>
        <w:t xml:space="preserve">, </w:t>
      </w:r>
      <w:r w:rsidR="0004345C">
        <w:rPr>
          <w:rFonts w:ascii="Times New Roman" w:hAnsi="Times New Roman" w:cs="Times New Roman"/>
        </w:rPr>
        <w:t xml:space="preserve">in clear conditions, with young male </w:t>
      </w:r>
      <w:r w:rsidRPr="008C6098" w:rsidR="0004345C">
        <w:rPr>
          <w:rFonts w:ascii="Times New Roman" w:hAnsi="Times New Roman" w:cs="Times New Roman"/>
        </w:rPr>
        <w:t>driver</w:t>
      </w:r>
      <w:r w:rsidR="0004345C">
        <w:rPr>
          <w:rFonts w:ascii="Times New Roman" w:hAnsi="Times New Roman" w:cs="Times New Roman"/>
        </w:rPr>
        <w:t>s</w:t>
      </w:r>
      <w:r w:rsidRPr="008C6098" w:rsidR="0004345C">
        <w:rPr>
          <w:rFonts w:ascii="Times New Roman" w:hAnsi="Times New Roman" w:cs="Times New Roman"/>
        </w:rPr>
        <w:t xml:space="preserve"> </w:t>
      </w:r>
      <w:r w:rsidR="0004345C">
        <w:rPr>
          <w:rFonts w:ascii="Times New Roman" w:hAnsi="Times New Roman" w:cs="Times New Roman"/>
        </w:rPr>
        <w:t>age 36 and below</w:t>
      </w:r>
      <w:r w:rsidRPr="008C6098" w:rsidR="0004345C">
        <w:rPr>
          <w:rFonts w:ascii="Times New Roman" w:hAnsi="Times New Roman" w:cs="Times New Roman"/>
        </w:rPr>
        <w:t xml:space="preserve">, </w:t>
      </w:r>
      <w:r w:rsidR="00A9174C">
        <w:rPr>
          <w:rFonts w:ascii="Times New Roman" w:hAnsi="Times New Roman" w:cs="Times New Roman"/>
        </w:rPr>
        <w:t xml:space="preserve">the </w:t>
      </w:r>
      <w:r w:rsidR="0004345C">
        <w:rPr>
          <w:rFonts w:ascii="Times New Roman" w:hAnsi="Times New Roman" w:cs="Times New Roman"/>
        </w:rPr>
        <w:t>driver was injured;</w:t>
      </w:r>
      <w:r w:rsidRPr="008C6098" w:rsidR="0004345C">
        <w:rPr>
          <w:rFonts w:ascii="Times New Roman" w:hAnsi="Times New Roman" w:cs="Times New Roman"/>
        </w:rPr>
        <w:t xml:space="preserve"> the group is associated with serious injuries</w:t>
      </w:r>
      <w:r w:rsidR="0004345C">
        <w:rPr>
          <w:rFonts w:ascii="Times New Roman" w:hAnsi="Times New Roman" w:cs="Times New Roman"/>
        </w:rPr>
        <w:t xml:space="preserve"> that happened around the 24th of the month.</w:t>
      </w:r>
    </w:p>
    <w:p w:rsidRPr="002B34B2" w:rsidR="002568B7" w:rsidP="002B34B2" w:rsidRDefault="002568B7" w14:paraId="2F0E6C9B" w14:textId="77777777">
      <w:pPr>
        <w:rPr>
          <w:rFonts w:ascii="Times New Roman" w:hAnsi="Times New Roman" w:cs="Times New Roman"/>
        </w:rPr>
      </w:pPr>
    </w:p>
    <w:p w:rsidR="0004345C" w:rsidP="0004345C" w:rsidRDefault="0004345C" w14:paraId="576955D7" w14:textId="77777777">
      <w:pPr>
        <w:rPr>
          <w:rFonts w:ascii="Times New Roman" w:hAnsi="Times New Roman" w:cs="Times New Roman"/>
        </w:rPr>
      </w:pPr>
      <w:r>
        <w:rPr>
          <w:rFonts w:ascii="Times New Roman" w:hAnsi="Times New Roman" w:cs="Times New Roman"/>
        </w:rPr>
        <w:t>There are geographical differences between the groups as per the table below</w:t>
      </w:r>
    </w:p>
    <w:p w:rsidR="0004345C" w:rsidP="0004345C" w:rsidRDefault="0004345C" w14:paraId="7F0F09A5" w14:textId="77777777">
      <w:pPr>
        <w:rPr>
          <w:rFonts w:ascii="Times New Roman" w:hAnsi="Times New Roman" w:cs="Times New Roman"/>
        </w:rPr>
      </w:pPr>
    </w:p>
    <w:tbl>
      <w:tblPr>
        <w:tblW w:w="7940" w:type="dxa"/>
        <w:tblInd w:w="93" w:type="dxa"/>
        <w:tblLayout w:type="fixed"/>
        <w:tblLook w:val="04A0" w:firstRow="1" w:lastRow="0" w:firstColumn="1" w:lastColumn="0" w:noHBand="0" w:noVBand="1"/>
      </w:tblPr>
      <w:tblGrid>
        <w:gridCol w:w="1588"/>
        <w:gridCol w:w="1588"/>
        <w:gridCol w:w="1588"/>
        <w:gridCol w:w="1588"/>
        <w:gridCol w:w="1588"/>
      </w:tblGrid>
      <w:tr w:rsidRPr="0004345C" w:rsidR="0004345C" w:rsidTr="0004345C" w14:paraId="00E3F841" w14:textId="77777777">
        <w:trPr>
          <w:trHeight w:val="278"/>
        </w:trPr>
        <w:tc>
          <w:tcPr>
            <w:tcW w:w="1588"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04345C" w:rsidR="0004345C" w:rsidP="0004345C" w:rsidRDefault="0004345C" w14:paraId="7EF1F866" w14:textId="77777777">
            <w:pPr>
              <w:rPr>
                <w:rFonts w:ascii="Calibri" w:hAnsi="Calibri" w:eastAsia="Times New Roman" w:cs="Times New Roman"/>
                <w:color w:val="000000"/>
              </w:rPr>
            </w:pPr>
            <w:r>
              <w:rPr>
                <w:rFonts w:ascii="Calibri" w:hAnsi="Calibri" w:eastAsia="Times New Roman" w:cs="Times New Roman"/>
                <w:color w:val="000000"/>
              </w:rPr>
              <w:t>C</w:t>
            </w:r>
            <w:r w:rsidRPr="0004345C">
              <w:rPr>
                <w:rFonts w:ascii="Calibri" w:hAnsi="Calibri" w:eastAsia="Times New Roman" w:cs="Times New Roman"/>
                <w:color w:val="000000"/>
              </w:rPr>
              <w:t>luster</w:t>
            </w:r>
          </w:p>
        </w:tc>
        <w:tc>
          <w:tcPr>
            <w:tcW w:w="1588" w:type="dxa"/>
            <w:tcBorders>
              <w:top w:val="single" w:color="auto" w:sz="4" w:space="0"/>
              <w:left w:val="nil"/>
              <w:bottom w:val="single" w:color="auto" w:sz="4" w:space="0"/>
              <w:right w:val="single" w:color="auto" w:sz="4" w:space="0"/>
            </w:tcBorders>
            <w:shd w:val="clear" w:color="000000" w:fill="CCFFCC"/>
            <w:noWrap/>
            <w:vAlign w:val="bottom"/>
            <w:hideMark/>
          </w:tcPr>
          <w:p w:rsidRPr="0004345C" w:rsidR="0004345C" w:rsidP="0004345C" w:rsidRDefault="0004345C" w14:paraId="23D34BD4" w14:textId="77777777">
            <w:pPr>
              <w:rPr>
                <w:rFonts w:ascii="Calibri" w:hAnsi="Calibri" w:eastAsia="Times New Roman" w:cs="Times New Roman"/>
                <w:color w:val="000000"/>
              </w:rPr>
            </w:pPr>
            <w:r w:rsidRPr="0004345C">
              <w:rPr>
                <w:rFonts w:ascii="Calibri" w:hAnsi="Calibri" w:eastAsia="Times New Roman" w:cs="Times New Roman"/>
                <w:color w:val="000000"/>
              </w:rPr>
              <w:t>Midwest</w:t>
            </w:r>
          </w:p>
        </w:tc>
        <w:tc>
          <w:tcPr>
            <w:tcW w:w="1588" w:type="dxa"/>
            <w:tcBorders>
              <w:top w:val="single" w:color="auto" w:sz="4" w:space="0"/>
              <w:left w:val="nil"/>
              <w:bottom w:val="single" w:color="auto" w:sz="4" w:space="0"/>
              <w:right w:val="single" w:color="auto" w:sz="4" w:space="0"/>
            </w:tcBorders>
            <w:shd w:val="clear" w:color="000000" w:fill="CCFFCC"/>
            <w:noWrap/>
            <w:vAlign w:val="bottom"/>
            <w:hideMark/>
          </w:tcPr>
          <w:p w:rsidRPr="0004345C" w:rsidR="0004345C" w:rsidP="0004345C" w:rsidRDefault="0004345C" w14:paraId="7C10D7B5" w14:textId="77777777">
            <w:pPr>
              <w:rPr>
                <w:rFonts w:ascii="Calibri" w:hAnsi="Calibri" w:eastAsia="Times New Roman" w:cs="Times New Roman"/>
                <w:color w:val="000000"/>
              </w:rPr>
            </w:pPr>
            <w:r w:rsidRPr="0004345C">
              <w:rPr>
                <w:rFonts w:ascii="Calibri" w:hAnsi="Calibri" w:eastAsia="Times New Roman" w:cs="Times New Roman"/>
                <w:color w:val="000000"/>
              </w:rPr>
              <w:t>Northeast</w:t>
            </w:r>
          </w:p>
        </w:tc>
        <w:tc>
          <w:tcPr>
            <w:tcW w:w="1588" w:type="dxa"/>
            <w:tcBorders>
              <w:top w:val="single" w:color="auto" w:sz="4" w:space="0"/>
              <w:left w:val="nil"/>
              <w:bottom w:val="single" w:color="auto" w:sz="4" w:space="0"/>
              <w:right w:val="single" w:color="auto" w:sz="4" w:space="0"/>
            </w:tcBorders>
            <w:shd w:val="clear" w:color="000000" w:fill="CCFFCC"/>
            <w:noWrap/>
            <w:vAlign w:val="bottom"/>
            <w:hideMark/>
          </w:tcPr>
          <w:p w:rsidRPr="0004345C" w:rsidR="0004345C" w:rsidP="0004345C" w:rsidRDefault="0004345C" w14:paraId="2D3036D6" w14:textId="77777777">
            <w:pPr>
              <w:rPr>
                <w:rFonts w:ascii="Calibri" w:hAnsi="Calibri" w:eastAsia="Times New Roman" w:cs="Times New Roman"/>
                <w:color w:val="000000"/>
              </w:rPr>
            </w:pPr>
            <w:r w:rsidRPr="0004345C">
              <w:rPr>
                <w:rFonts w:ascii="Calibri" w:hAnsi="Calibri" w:eastAsia="Times New Roman" w:cs="Times New Roman"/>
                <w:color w:val="000000"/>
              </w:rPr>
              <w:t>South</w:t>
            </w:r>
          </w:p>
        </w:tc>
        <w:tc>
          <w:tcPr>
            <w:tcW w:w="1588" w:type="dxa"/>
            <w:tcBorders>
              <w:top w:val="single" w:color="auto" w:sz="4" w:space="0"/>
              <w:left w:val="nil"/>
              <w:bottom w:val="single" w:color="auto" w:sz="4" w:space="0"/>
              <w:right w:val="single" w:color="auto" w:sz="4" w:space="0"/>
            </w:tcBorders>
            <w:shd w:val="clear" w:color="000000" w:fill="CCFFCC"/>
            <w:noWrap/>
            <w:vAlign w:val="bottom"/>
            <w:hideMark/>
          </w:tcPr>
          <w:p w:rsidRPr="0004345C" w:rsidR="0004345C" w:rsidP="0004345C" w:rsidRDefault="0004345C" w14:paraId="2DB481CA" w14:textId="77777777">
            <w:pPr>
              <w:rPr>
                <w:rFonts w:ascii="Calibri" w:hAnsi="Calibri" w:eastAsia="Times New Roman" w:cs="Times New Roman"/>
                <w:color w:val="000000"/>
              </w:rPr>
            </w:pPr>
            <w:r w:rsidRPr="0004345C">
              <w:rPr>
                <w:rFonts w:ascii="Calibri" w:hAnsi="Calibri" w:eastAsia="Times New Roman" w:cs="Times New Roman"/>
                <w:color w:val="000000"/>
              </w:rPr>
              <w:t>West</w:t>
            </w:r>
          </w:p>
        </w:tc>
      </w:tr>
      <w:tr w:rsidRPr="0004345C" w:rsidR="0004345C" w:rsidTr="0004345C" w14:paraId="71F220A5" w14:textId="77777777">
        <w:trPr>
          <w:trHeight w:val="260"/>
        </w:trPr>
        <w:tc>
          <w:tcPr>
            <w:tcW w:w="1588" w:type="dxa"/>
            <w:tcBorders>
              <w:top w:val="nil"/>
              <w:left w:val="single" w:color="auto" w:sz="4" w:space="0"/>
              <w:bottom w:val="single" w:color="auto" w:sz="4" w:space="0"/>
              <w:right w:val="single" w:color="auto" w:sz="4" w:space="0"/>
            </w:tcBorders>
            <w:shd w:val="clear" w:color="000000" w:fill="D9D9D9"/>
            <w:noWrap/>
            <w:vAlign w:val="bottom"/>
            <w:hideMark/>
          </w:tcPr>
          <w:p w:rsidRPr="0004345C" w:rsidR="0004345C" w:rsidP="0004345C" w:rsidRDefault="0004345C" w14:paraId="44B78F3C"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50FEBE6C"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19.1%</w:t>
            </w:r>
          </w:p>
        </w:tc>
        <w:tc>
          <w:tcPr>
            <w:tcW w:w="1588" w:type="dxa"/>
            <w:tcBorders>
              <w:top w:val="nil"/>
              <w:left w:val="nil"/>
              <w:bottom w:val="single" w:color="auto" w:sz="4" w:space="0"/>
              <w:right w:val="single" w:color="auto" w:sz="4" w:space="0"/>
            </w:tcBorders>
            <w:shd w:val="clear" w:color="000000" w:fill="EBF1DE"/>
            <w:noWrap/>
            <w:vAlign w:val="bottom"/>
            <w:hideMark/>
          </w:tcPr>
          <w:p w:rsidRPr="0004345C" w:rsidR="0004345C" w:rsidP="0004345C" w:rsidRDefault="0004345C" w14:paraId="57DC216E"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37.6%</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32FB5DE4"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18.9%</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704DC100"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21.2%</w:t>
            </w:r>
          </w:p>
        </w:tc>
      </w:tr>
      <w:tr w:rsidRPr="0004345C" w:rsidR="0004345C" w:rsidTr="0004345C" w14:paraId="104413E9" w14:textId="77777777">
        <w:trPr>
          <w:trHeight w:val="278"/>
        </w:trPr>
        <w:tc>
          <w:tcPr>
            <w:tcW w:w="1588" w:type="dxa"/>
            <w:tcBorders>
              <w:top w:val="nil"/>
              <w:left w:val="single" w:color="auto" w:sz="4" w:space="0"/>
              <w:bottom w:val="single" w:color="auto" w:sz="4" w:space="0"/>
              <w:right w:val="single" w:color="auto" w:sz="4" w:space="0"/>
            </w:tcBorders>
            <w:shd w:val="clear" w:color="000000" w:fill="D9D9D9"/>
            <w:noWrap/>
            <w:vAlign w:val="bottom"/>
            <w:hideMark/>
          </w:tcPr>
          <w:p w:rsidRPr="0004345C" w:rsidR="0004345C" w:rsidP="0004345C" w:rsidRDefault="0004345C" w14:paraId="70DB5FB0"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2</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2AF2C59F"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18.6%</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3E9420C8"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14.5%</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53BA5F17"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16.2%</w:t>
            </w:r>
          </w:p>
        </w:tc>
        <w:tc>
          <w:tcPr>
            <w:tcW w:w="1588" w:type="dxa"/>
            <w:tcBorders>
              <w:top w:val="nil"/>
              <w:left w:val="nil"/>
              <w:bottom w:val="single" w:color="auto" w:sz="4" w:space="0"/>
              <w:right w:val="single" w:color="auto" w:sz="4" w:space="0"/>
            </w:tcBorders>
            <w:shd w:val="clear" w:color="000000" w:fill="EBF1DE"/>
            <w:noWrap/>
            <w:vAlign w:val="bottom"/>
            <w:hideMark/>
          </w:tcPr>
          <w:p w:rsidRPr="0004345C" w:rsidR="0004345C" w:rsidP="0004345C" w:rsidRDefault="0004345C" w14:paraId="2FDEC54E"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48.3%</w:t>
            </w:r>
          </w:p>
        </w:tc>
      </w:tr>
      <w:tr w:rsidRPr="0004345C" w:rsidR="0004345C" w:rsidTr="0004345C" w14:paraId="701270A8" w14:textId="77777777">
        <w:trPr>
          <w:trHeight w:val="278"/>
        </w:trPr>
        <w:tc>
          <w:tcPr>
            <w:tcW w:w="1588" w:type="dxa"/>
            <w:tcBorders>
              <w:top w:val="nil"/>
              <w:left w:val="single" w:color="auto" w:sz="4" w:space="0"/>
              <w:bottom w:val="single" w:color="auto" w:sz="4" w:space="0"/>
              <w:right w:val="single" w:color="auto" w:sz="4" w:space="0"/>
            </w:tcBorders>
            <w:shd w:val="clear" w:color="000000" w:fill="D9D9D9"/>
            <w:noWrap/>
            <w:vAlign w:val="bottom"/>
            <w:hideMark/>
          </w:tcPr>
          <w:p w:rsidRPr="0004345C" w:rsidR="0004345C" w:rsidP="0004345C" w:rsidRDefault="0004345C" w14:paraId="1EBC8B91"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3</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4242FCD0"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9.0%</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1EE987D0"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12.0%</w:t>
            </w:r>
          </w:p>
        </w:tc>
        <w:tc>
          <w:tcPr>
            <w:tcW w:w="1588" w:type="dxa"/>
            <w:tcBorders>
              <w:top w:val="nil"/>
              <w:left w:val="nil"/>
              <w:bottom w:val="single" w:color="auto" w:sz="4" w:space="0"/>
              <w:right w:val="single" w:color="auto" w:sz="4" w:space="0"/>
            </w:tcBorders>
            <w:shd w:val="clear" w:color="000000" w:fill="EBF1DE"/>
            <w:noWrap/>
            <w:vAlign w:val="bottom"/>
            <w:hideMark/>
          </w:tcPr>
          <w:p w:rsidRPr="0004345C" w:rsidR="0004345C" w:rsidP="0004345C" w:rsidRDefault="0004345C" w14:paraId="000BFEA6"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55.1%</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6734CFBD"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23.1%</w:t>
            </w:r>
          </w:p>
        </w:tc>
      </w:tr>
      <w:tr w:rsidRPr="0004345C" w:rsidR="0004345C" w:rsidTr="0004345C" w14:paraId="419D8754" w14:textId="77777777">
        <w:trPr>
          <w:trHeight w:val="278"/>
        </w:trPr>
        <w:tc>
          <w:tcPr>
            <w:tcW w:w="1588" w:type="dxa"/>
            <w:tcBorders>
              <w:top w:val="nil"/>
              <w:left w:val="single" w:color="auto" w:sz="4" w:space="0"/>
              <w:bottom w:val="single" w:color="auto" w:sz="4" w:space="0"/>
              <w:right w:val="single" w:color="auto" w:sz="4" w:space="0"/>
            </w:tcBorders>
            <w:shd w:val="clear" w:color="000000" w:fill="D9D9D9"/>
            <w:noWrap/>
            <w:vAlign w:val="bottom"/>
            <w:hideMark/>
          </w:tcPr>
          <w:p w:rsidRPr="0004345C" w:rsidR="0004345C" w:rsidP="0004345C" w:rsidRDefault="0004345C" w14:paraId="0E78D332"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4</w:t>
            </w:r>
          </w:p>
        </w:tc>
        <w:tc>
          <w:tcPr>
            <w:tcW w:w="1588" w:type="dxa"/>
            <w:tcBorders>
              <w:top w:val="nil"/>
              <w:left w:val="nil"/>
              <w:bottom w:val="single" w:color="auto" w:sz="4" w:space="0"/>
              <w:right w:val="single" w:color="auto" w:sz="4" w:space="0"/>
            </w:tcBorders>
            <w:shd w:val="clear" w:color="000000" w:fill="EBF1DE"/>
            <w:noWrap/>
            <w:vAlign w:val="bottom"/>
            <w:hideMark/>
          </w:tcPr>
          <w:p w:rsidRPr="0004345C" w:rsidR="0004345C" w:rsidP="0004345C" w:rsidRDefault="0004345C" w14:paraId="4C4AE9DF"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48.2%</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70FAFF81"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7.5%</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6828DC7D"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15.7%</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029FA585"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26.9%</w:t>
            </w:r>
          </w:p>
        </w:tc>
      </w:tr>
      <w:tr w:rsidRPr="0004345C" w:rsidR="0004345C" w:rsidTr="0004345C" w14:paraId="066DBCB9" w14:textId="77777777">
        <w:trPr>
          <w:trHeight w:val="278"/>
        </w:trPr>
        <w:tc>
          <w:tcPr>
            <w:tcW w:w="1588" w:type="dxa"/>
            <w:tcBorders>
              <w:top w:val="nil"/>
              <w:left w:val="single" w:color="auto" w:sz="4" w:space="0"/>
              <w:bottom w:val="single" w:color="auto" w:sz="4" w:space="0"/>
              <w:right w:val="single" w:color="auto" w:sz="4" w:space="0"/>
            </w:tcBorders>
            <w:shd w:val="clear" w:color="000000" w:fill="D9D9D9"/>
            <w:noWrap/>
            <w:vAlign w:val="bottom"/>
            <w:hideMark/>
          </w:tcPr>
          <w:p w:rsidRPr="0004345C" w:rsidR="0004345C" w:rsidP="0004345C" w:rsidRDefault="0004345C" w14:paraId="535D7B35"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5</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444C7AFE"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21.4%</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45173AD7"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9.5%</w:t>
            </w:r>
          </w:p>
        </w:tc>
        <w:tc>
          <w:tcPr>
            <w:tcW w:w="1588" w:type="dxa"/>
            <w:tcBorders>
              <w:top w:val="nil"/>
              <w:left w:val="nil"/>
              <w:bottom w:val="single" w:color="auto" w:sz="4" w:space="0"/>
              <w:right w:val="single" w:color="auto" w:sz="4" w:space="0"/>
            </w:tcBorders>
            <w:shd w:val="clear" w:color="000000" w:fill="EBF1DE"/>
            <w:noWrap/>
            <w:vAlign w:val="bottom"/>
            <w:hideMark/>
          </w:tcPr>
          <w:p w:rsidRPr="0004345C" w:rsidR="0004345C" w:rsidP="0004345C" w:rsidRDefault="0004345C" w14:paraId="27391868"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41.6%</w:t>
            </w:r>
          </w:p>
        </w:tc>
        <w:tc>
          <w:tcPr>
            <w:tcW w:w="1588" w:type="dxa"/>
            <w:tcBorders>
              <w:top w:val="nil"/>
              <w:left w:val="nil"/>
              <w:bottom w:val="single" w:color="auto" w:sz="4" w:space="0"/>
              <w:right w:val="single" w:color="auto" w:sz="4" w:space="0"/>
            </w:tcBorders>
            <w:shd w:val="clear" w:color="auto" w:fill="auto"/>
            <w:noWrap/>
            <w:vAlign w:val="bottom"/>
            <w:hideMark/>
          </w:tcPr>
          <w:p w:rsidRPr="0004345C" w:rsidR="0004345C" w:rsidP="0004345C" w:rsidRDefault="0004345C" w14:paraId="546A2080" w14:textId="77777777">
            <w:pPr>
              <w:jc w:val="right"/>
              <w:rPr>
                <w:rFonts w:ascii="Calibri" w:hAnsi="Calibri" w:eastAsia="Times New Roman" w:cs="Times New Roman"/>
                <w:color w:val="000000"/>
              </w:rPr>
            </w:pPr>
            <w:r w:rsidRPr="0004345C">
              <w:rPr>
                <w:rFonts w:ascii="Calibri" w:hAnsi="Calibri" w:eastAsia="Times New Roman" w:cs="Times New Roman"/>
                <w:color w:val="000000"/>
              </w:rPr>
              <w:t>24.4%</w:t>
            </w:r>
          </w:p>
        </w:tc>
      </w:tr>
    </w:tbl>
    <w:p w:rsidR="0004345C" w:rsidP="0004345C" w:rsidRDefault="0004345C" w14:paraId="3AEDC01A" w14:textId="77777777">
      <w:pPr>
        <w:rPr>
          <w:rFonts w:ascii="Times New Roman" w:hAnsi="Times New Roman" w:cs="Times New Roman"/>
        </w:rPr>
      </w:pPr>
    </w:p>
    <w:p w:rsidR="0004345C" w:rsidP="0004345C" w:rsidRDefault="0004345C" w14:paraId="4DEF7671" w14:textId="77777777">
      <w:pPr>
        <w:rPr>
          <w:rFonts w:ascii="Times New Roman" w:hAnsi="Times New Roman" w:cs="Times New Roman"/>
        </w:rPr>
      </w:pPr>
      <w:r>
        <w:rPr>
          <w:rFonts w:ascii="Times New Roman" w:hAnsi="Times New Roman" w:cs="Times New Roman"/>
        </w:rPr>
        <w:t xml:space="preserve">Midwest is strongly associated with cluster 4, Northwest with cluster 1, The </w:t>
      </w:r>
      <w:r w:rsidR="002B4C84">
        <w:rPr>
          <w:rFonts w:ascii="Times New Roman" w:hAnsi="Times New Roman" w:cs="Times New Roman"/>
        </w:rPr>
        <w:t>South with both clusters 3 and 5</w:t>
      </w:r>
      <w:r>
        <w:rPr>
          <w:rFonts w:ascii="Times New Roman" w:hAnsi="Times New Roman" w:cs="Times New Roman"/>
        </w:rPr>
        <w:t xml:space="preserve">, and the West with cluster 2. </w:t>
      </w:r>
    </w:p>
    <w:p w:rsidR="00DF42A6" w:rsidP="00DF42A6" w:rsidRDefault="00DF42A6" w14:paraId="769FB473" w14:textId="77777777">
      <w:pPr>
        <w:rPr>
          <w:rFonts w:ascii="Times New Roman" w:hAnsi="Times New Roman" w:cs="Times New Roman"/>
        </w:rPr>
      </w:pPr>
    </w:p>
    <w:p w:rsidRPr="00407A82" w:rsidR="00407A82" w:rsidP="00DF42A6" w:rsidRDefault="00407A82" w14:paraId="15A64DEB" w14:textId="2807FD06">
      <w:pPr>
        <w:rPr>
          <w:rFonts w:ascii="Times New Roman" w:hAnsi="Times New Roman" w:cs="Times New Roman"/>
          <w:b/>
        </w:rPr>
      </w:pPr>
      <w:r w:rsidRPr="00407A82">
        <w:rPr>
          <w:rFonts w:ascii="Times New Roman" w:hAnsi="Times New Roman" w:cs="Times New Roman"/>
          <w:b/>
        </w:rPr>
        <w:t xml:space="preserve">Recommendations: </w:t>
      </w:r>
    </w:p>
    <w:p w:rsidR="00407A82" w:rsidP="00DF42A6" w:rsidRDefault="00407A82" w14:paraId="5582A20D" w14:textId="77777777">
      <w:pPr>
        <w:rPr>
          <w:rFonts w:ascii="Times New Roman" w:hAnsi="Times New Roman" w:cs="Times New Roman"/>
        </w:rPr>
      </w:pPr>
    </w:p>
    <w:p w:rsidRPr="00244535" w:rsidR="00DF42A6" w:rsidP="00DF42A6" w:rsidRDefault="0004345C" w14:paraId="67DA9317" w14:textId="77777777">
      <w:pPr>
        <w:rPr>
          <w:rFonts w:ascii="Times New Roman" w:hAnsi="Times New Roman" w:cs="Times New Roman"/>
        </w:rPr>
      </w:pPr>
      <w:r>
        <w:rPr>
          <w:rFonts w:ascii="Times New Roman" w:hAnsi="Times New Roman" w:cs="Times New Roman"/>
        </w:rPr>
        <w:t>Based on</w:t>
      </w:r>
      <w:r w:rsidR="00DF42A6">
        <w:rPr>
          <w:rFonts w:ascii="Times New Roman" w:hAnsi="Times New Roman" w:cs="Times New Roman"/>
        </w:rPr>
        <w:t xml:space="preserve"> the characteristics of each cluster per region and based on the distinguishing factors </w:t>
      </w:r>
      <w:r w:rsidR="002B4C84">
        <w:rPr>
          <w:rFonts w:ascii="Times New Roman" w:hAnsi="Times New Roman" w:cs="Times New Roman"/>
        </w:rPr>
        <w:t xml:space="preserve">I’d like to make a few recommendations that can help with differential pricing. </w:t>
      </w:r>
      <w:r w:rsidRPr="00244535" w:rsidR="00DF42A6">
        <w:rPr>
          <w:rFonts w:ascii="Times New Roman" w:hAnsi="Times New Roman" w:cs="Times New Roman"/>
        </w:rPr>
        <w:t xml:space="preserve">The South </w:t>
      </w:r>
      <w:r w:rsidR="002B4C84">
        <w:rPr>
          <w:rFonts w:ascii="Times New Roman" w:hAnsi="Times New Roman" w:cs="Times New Roman"/>
        </w:rPr>
        <w:t>and/</w:t>
      </w:r>
      <w:r w:rsidRPr="00244535" w:rsidR="00DF42A6">
        <w:rPr>
          <w:rFonts w:ascii="Times New Roman" w:hAnsi="Times New Roman" w:cs="Times New Roman"/>
        </w:rPr>
        <w:t xml:space="preserve">or West region can be considered first </w:t>
      </w:r>
      <w:r w:rsidR="00DF42A6">
        <w:rPr>
          <w:rFonts w:ascii="Times New Roman" w:hAnsi="Times New Roman" w:cs="Times New Roman"/>
        </w:rPr>
        <w:t xml:space="preserve">or both can be attempted with the expansion strategy plan. </w:t>
      </w:r>
    </w:p>
    <w:p w:rsidR="00DF42A6" w:rsidP="00DF42A6" w:rsidRDefault="00DF42A6" w14:paraId="4749C82D" w14:textId="77777777">
      <w:pPr>
        <w:rPr>
          <w:rFonts w:ascii="Times New Roman" w:hAnsi="Times New Roman" w:cs="Times New Roman"/>
        </w:rPr>
      </w:pPr>
    </w:p>
    <w:p w:rsidR="002B4C84" w:rsidP="002B4C84" w:rsidRDefault="002B4C84" w14:paraId="7491329F" w14:textId="77777777">
      <w:pPr>
        <w:rPr>
          <w:rFonts w:ascii="Times New Roman" w:hAnsi="Times New Roman" w:cs="Times New Roman"/>
        </w:rPr>
      </w:pPr>
      <w:r>
        <w:rPr>
          <w:rFonts w:ascii="Times New Roman" w:hAnsi="Times New Roman" w:cs="Times New Roman"/>
        </w:rPr>
        <w:t>The South region is strongly associated with cluster 3</w:t>
      </w:r>
      <w:r w:rsidR="002568B7">
        <w:rPr>
          <w:rFonts w:ascii="Times New Roman" w:hAnsi="Times New Roman" w:cs="Times New Roman"/>
        </w:rPr>
        <w:t xml:space="preserve"> and 5</w:t>
      </w:r>
      <w:r>
        <w:rPr>
          <w:rFonts w:ascii="Times New Roman" w:hAnsi="Times New Roman" w:cs="Times New Roman"/>
        </w:rPr>
        <w:t>. A pricing preference can be given to female drivers</w:t>
      </w:r>
      <w:r w:rsidR="002568B7">
        <w:rPr>
          <w:rFonts w:ascii="Times New Roman" w:hAnsi="Times New Roman" w:cs="Times New Roman"/>
        </w:rPr>
        <w:t xml:space="preserve"> and all d</w:t>
      </w:r>
      <w:r>
        <w:rPr>
          <w:rFonts w:ascii="Times New Roman" w:hAnsi="Times New Roman" w:cs="Times New Roman"/>
        </w:rPr>
        <w:t xml:space="preserve">rivers </w:t>
      </w:r>
      <w:r w:rsidR="002568B7">
        <w:rPr>
          <w:rFonts w:ascii="Times New Roman" w:hAnsi="Times New Roman" w:cs="Times New Roman"/>
        </w:rPr>
        <w:t>older</w:t>
      </w:r>
      <w:r>
        <w:rPr>
          <w:rFonts w:ascii="Times New Roman" w:hAnsi="Times New Roman" w:cs="Times New Roman"/>
        </w:rPr>
        <w:t xml:space="preserve"> than 36 years of age</w:t>
      </w:r>
      <w:r w:rsidR="002568B7">
        <w:rPr>
          <w:rFonts w:ascii="Times New Roman" w:hAnsi="Times New Roman" w:cs="Times New Roman"/>
        </w:rPr>
        <w:t>.</w:t>
      </w:r>
      <w:r>
        <w:rPr>
          <w:rFonts w:ascii="Times New Roman" w:hAnsi="Times New Roman" w:cs="Times New Roman"/>
        </w:rPr>
        <w:t xml:space="preserve"> In addition a low premium with high deductible can be presented if customers claim in January – this will hopefully deter reckless driving during the peak winter months. </w:t>
      </w:r>
    </w:p>
    <w:p w:rsidR="002B4C84" w:rsidP="002B4C84" w:rsidRDefault="002B4C84" w14:paraId="014FFA85" w14:textId="77777777">
      <w:pPr>
        <w:rPr>
          <w:rFonts w:ascii="Times New Roman" w:hAnsi="Times New Roman" w:cs="Times New Roman"/>
        </w:rPr>
      </w:pPr>
    </w:p>
    <w:p w:rsidR="00DF42A6" w:rsidP="4084DEDB" w:rsidRDefault="00DF42A6" w14:paraId="744A846C" w14:noSpellErr="1" w14:textId="0B88FE76">
      <w:pPr>
        <w:rPr>
          <w:rFonts w:ascii="Times New Roman" w:hAnsi="Times New Roman" w:cs="Times New Roman"/>
        </w:rPr>
      </w:pPr>
      <w:r w:rsidRPr="4084DEDB" w:rsidR="4084DEDB">
        <w:rPr>
          <w:rFonts w:ascii="Times New Roman" w:hAnsi="Times New Roman" w:cs="Times New Roman"/>
        </w:rPr>
        <w:t>The West region is strong</w:t>
      </w:r>
      <w:r w:rsidRPr="4084DEDB" w:rsidR="4084DEDB">
        <w:rPr>
          <w:rFonts w:ascii="Times New Roman" w:hAnsi="Times New Roman" w:cs="Times New Roman"/>
        </w:rPr>
        <w:t>ly associated with the cluster 2</w:t>
      </w:r>
      <w:r w:rsidRPr="4084DEDB" w:rsidR="4084DEDB">
        <w:rPr>
          <w:rFonts w:ascii="Times New Roman" w:hAnsi="Times New Roman" w:cs="Times New Roman"/>
        </w:rPr>
        <w:t>. A pricing preference can be given to customers that do not make use of rural roads on a day-to-day basis and customers that are</w:t>
      </w:r>
      <w:r w:rsidRPr="4084DEDB" w:rsidR="4084DEDB">
        <w:rPr>
          <w:rFonts w:ascii="Times New Roman" w:hAnsi="Times New Roman" w:cs="Times New Roman"/>
        </w:rPr>
        <w:t xml:space="preserve"> older than </w:t>
      </w:r>
      <w:r w:rsidRPr="4084DEDB" w:rsidR="4084DEDB">
        <w:rPr>
          <w:rFonts w:ascii="Times New Roman" w:hAnsi="Times New Roman" w:cs="Times New Roman"/>
        </w:rPr>
        <w:t>36</w:t>
      </w:r>
      <w:r w:rsidRPr="4084DEDB" w:rsidR="4084DEDB">
        <w:rPr>
          <w:rFonts w:ascii="Times New Roman" w:hAnsi="Times New Roman" w:cs="Times New Roman"/>
        </w:rPr>
        <w:t xml:space="preserve"> years</w:t>
      </w:r>
      <w:r w:rsidRPr="4084DEDB" w:rsidR="4084DEDB">
        <w:rPr>
          <w:rFonts w:ascii="Times New Roman" w:hAnsi="Times New Roman" w:cs="Times New Roman"/>
        </w:rPr>
        <w:t xml:space="preserve"> as well as all female drivers</w:t>
      </w:r>
      <w:r w:rsidRPr="4084DEDB" w:rsidR="4084DEDB">
        <w:rPr>
          <w:rFonts w:ascii="Times New Roman" w:hAnsi="Times New Roman" w:cs="Times New Roman"/>
        </w:rPr>
        <w:t xml:space="preserve">. </w:t>
      </w:r>
      <w:r w:rsidRPr="4084DEDB" w:rsidR="4084DEDB">
        <w:rPr>
          <w:rFonts w:ascii="Times New Roman" w:hAnsi="Times New Roman" w:cs="Times New Roman"/>
        </w:rPr>
        <w:t xml:space="preserve">Fewer accidents happened in the first two weeks of the month for this cluster. </w:t>
      </w:r>
      <w:r w:rsidRPr="4084DEDB" w:rsidR="4084DEDB">
        <w:rPr>
          <w:rFonts w:ascii="Times New Roman" w:hAnsi="Times New Roman" w:cs="Times New Roman"/>
        </w:rPr>
        <w:t xml:space="preserve">In addition </w:t>
      </w:r>
      <w:r w:rsidRPr="4084DEDB" w:rsidR="4084DEDB">
        <w:rPr>
          <w:rFonts w:ascii="Times New Roman" w:hAnsi="Times New Roman" w:cs="Times New Roman"/>
        </w:rPr>
        <w:t>the</w:t>
      </w:r>
      <w:r w:rsidRPr="4084DEDB" w:rsidR="4084DEDB">
        <w:rPr>
          <w:rFonts w:ascii="Times New Roman" w:hAnsi="Times New Roman" w:cs="Times New Roman"/>
        </w:rPr>
        <w:t xml:space="preserve"> low</w:t>
      </w:r>
      <w:r w:rsidRPr="4084DEDB" w:rsidR="4084DEDB">
        <w:rPr>
          <w:rFonts w:ascii="Times New Roman" w:hAnsi="Times New Roman" w:cs="Times New Roman"/>
        </w:rPr>
        <w:t>er</w:t>
      </w:r>
      <w:r w:rsidRPr="4084DEDB" w:rsidR="4084DEDB">
        <w:rPr>
          <w:rFonts w:ascii="Times New Roman" w:hAnsi="Times New Roman" w:cs="Times New Roman"/>
        </w:rPr>
        <w:t xml:space="preserve"> premium with a high deductible can be presented if customers claim in the </w:t>
      </w:r>
      <w:r w:rsidRPr="4084DEDB" w:rsidR="4084DEDB">
        <w:rPr>
          <w:rFonts w:ascii="Times New Roman" w:hAnsi="Times New Roman" w:cs="Times New Roman"/>
        </w:rPr>
        <w:t xml:space="preserve">month of </w:t>
      </w:r>
      <w:r w:rsidRPr="4084DEDB" w:rsidR="4084DEDB">
        <w:rPr>
          <w:rFonts w:ascii="Times New Roman" w:hAnsi="Times New Roman" w:cs="Times New Roman"/>
        </w:rPr>
        <w:t xml:space="preserve">January – this will hopefully deter reckless </w:t>
      </w:r>
      <w:r w:rsidRPr="4084DEDB" w:rsidR="4084DEDB">
        <w:rPr>
          <w:rFonts w:ascii="Times New Roman" w:hAnsi="Times New Roman" w:cs="Times New Roman"/>
        </w:rPr>
        <w:t xml:space="preserve">driving </w:t>
      </w:r>
      <w:r w:rsidRPr="4084DEDB" w:rsidR="4084DEDB">
        <w:rPr>
          <w:rFonts w:ascii="Times New Roman" w:hAnsi="Times New Roman" w:cs="Times New Roman"/>
        </w:rPr>
        <w:t>and</w:t>
      </w:r>
      <w:r w:rsidRPr="4084DEDB" w:rsidR="4084DEDB">
        <w:rPr>
          <w:rFonts w:ascii="Times New Roman" w:hAnsi="Times New Roman" w:cs="Times New Roman"/>
        </w:rPr>
        <w:t xml:space="preserve"> </w:t>
      </w:r>
      <w:r w:rsidRPr="4084DEDB" w:rsidR="4084DEDB">
        <w:rPr>
          <w:rFonts w:ascii="Times New Roman" w:hAnsi="Times New Roman" w:cs="Times New Roman"/>
        </w:rPr>
        <w:t xml:space="preserve">encourage cautious driving, during the peak winter month. </w:t>
      </w:r>
    </w:p>
    <w:p w:rsidR="00DF42A6" w:rsidP="00DF42A6" w:rsidRDefault="00DF42A6" w14:paraId="184B3588" w14:textId="77777777">
      <w:pPr>
        <w:rPr>
          <w:rFonts w:ascii="Times New Roman" w:hAnsi="Times New Roman" w:cs="Times New Roman"/>
        </w:rPr>
      </w:pPr>
    </w:p>
    <w:p w:rsidR="008A7E00" w:rsidP="4084DEDB" w:rsidRDefault="008A7E00" w14:paraId="08AEF9B6" w14:noSpellErr="1" w14:textId="0466A633">
      <w:pPr>
        <w:rPr>
          <w:rFonts w:ascii="Times New Roman" w:hAnsi="Times New Roman" w:cs="Times New Roman"/>
        </w:rPr>
      </w:pPr>
      <w:r w:rsidRPr="4084DEDB" w:rsidR="4084DEDB">
        <w:rPr>
          <w:rFonts w:ascii="Times New Roman" w:hAnsi="Times New Roman" w:cs="Times New Roman"/>
        </w:rPr>
        <w:t xml:space="preserve">The </w:t>
      </w:r>
      <w:r w:rsidRPr="4084DEDB" w:rsidR="4084DEDB">
        <w:rPr>
          <w:rFonts w:ascii="Times New Roman" w:hAnsi="Times New Roman" w:cs="Times New Roman"/>
        </w:rPr>
        <w:t>Northwest</w:t>
      </w:r>
      <w:r w:rsidRPr="4084DEDB" w:rsidR="4084DEDB">
        <w:rPr>
          <w:rFonts w:ascii="Times New Roman" w:hAnsi="Times New Roman" w:cs="Times New Roman"/>
        </w:rPr>
        <w:t xml:space="preserve"> region is strong</w:t>
      </w:r>
      <w:r w:rsidRPr="4084DEDB" w:rsidR="4084DEDB">
        <w:rPr>
          <w:rFonts w:ascii="Times New Roman" w:hAnsi="Times New Roman" w:cs="Times New Roman"/>
        </w:rPr>
        <w:t>ly associated with the cluster 1</w:t>
      </w:r>
      <w:r w:rsidRPr="4084DEDB" w:rsidR="4084DEDB">
        <w:rPr>
          <w:rFonts w:ascii="Times New Roman" w:hAnsi="Times New Roman" w:cs="Times New Roman"/>
        </w:rPr>
        <w:t>. A pricing preference can be given to customers that do not make use of rural roads on a day-to-day basis and customers that are</w:t>
      </w:r>
      <w:r w:rsidRPr="4084DEDB" w:rsidR="4084DEDB">
        <w:rPr>
          <w:rFonts w:ascii="Times New Roman" w:hAnsi="Times New Roman" w:cs="Times New Roman"/>
        </w:rPr>
        <w:t xml:space="preserve"> older than 36</w:t>
      </w:r>
      <w:r w:rsidRPr="4084DEDB" w:rsidR="4084DEDB">
        <w:rPr>
          <w:rFonts w:ascii="Times New Roman" w:hAnsi="Times New Roman" w:cs="Times New Roman"/>
        </w:rPr>
        <w:t xml:space="preserve"> years</w:t>
      </w:r>
      <w:r w:rsidRPr="4084DEDB" w:rsidR="4084DEDB">
        <w:rPr>
          <w:rFonts w:ascii="Times New Roman" w:hAnsi="Times New Roman" w:cs="Times New Roman"/>
        </w:rPr>
        <w:t xml:space="preserve"> as well as </w:t>
      </w:r>
      <w:r w:rsidRPr="4084DEDB" w:rsidR="4084DEDB">
        <w:rPr>
          <w:rFonts w:ascii="Times New Roman" w:hAnsi="Times New Roman" w:cs="Times New Roman"/>
        </w:rPr>
        <w:t xml:space="preserve">all </w:t>
      </w:r>
      <w:r w:rsidRPr="4084DEDB" w:rsidR="4084DEDB">
        <w:rPr>
          <w:rFonts w:ascii="Times New Roman" w:hAnsi="Times New Roman" w:cs="Times New Roman"/>
        </w:rPr>
        <w:t>male drivers</w:t>
      </w:r>
      <w:r w:rsidRPr="4084DEDB" w:rsidR="4084DEDB">
        <w:rPr>
          <w:rFonts w:ascii="Times New Roman" w:hAnsi="Times New Roman" w:cs="Times New Roman"/>
        </w:rPr>
        <w:t xml:space="preserve">. In addition </w:t>
      </w:r>
      <w:r w:rsidRPr="4084DEDB" w:rsidR="4084DEDB">
        <w:rPr>
          <w:rFonts w:ascii="Times New Roman" w:hAnsi="Times New Roman" w:cs="Times New Roman"/>
        </w:rPr>
        <w:t>the</w:t>
      </w:r>
      <w:r w:rsidRPr="4084DEDB" w:rsidR="4084DEDB">
        <w:rPr>
          <w:rFonts w:ascii="Times New Roman" w:hAnsi="Times New Roman" w:cs="Times New Roman"/>
        </w:rPr>
        <w:t xml:space="preserve"> low</w:t>
      </w:r>
      <w:r w:rsidRPr="4084DEDB" w:rsidR="4084DEDB">
        <w:rPr>
          <w:rFonts w:ascii="Times New Roman" w:hAnsi="Times New Roman" w:cs="Times New Roman"/>
        </w:rPr>
        <w:t>er</w:t>
      </w:r>
      <w:r w:rsidRPr="4084DEDB" w:rsidR="4084DEDB">
        <w:rPr>
          <w:rFonts w:ascii="Times New Roman" w:hAnsi="Times New Roman" w:cs="Times New Roman"/>
        </w:rPr>
        <w:t xml:space="preserve"> premium with a high deductible can be presented if customers claim in </w:t>
      </w:r>
      <w:r w:rsidRPr="4084DEDB" w:rsidR="4084DEDB">
        <w:rPr>
          <w:rFonts w:ascii="Times New Roman" w:hAnsi="Times New Roman" w:cs="Times New Roman"/>
        </w:rPr>
        <w:t xml:space="preserve">the </w:t>
      </w:r>
      <w:r w:rsidRPr="4084DEDB" w:rsidR="4084DEDB">
        <w:rPr>
          <w:rFonts w:ascii="Times New Roman" w:hAnsi="Times New Roman" w:cs="Times New Roman"/>
        </w:rPr>
        <w:t>month of</w:t>
      </w:r>
      <w:r w:rsidRPr="4084DEDB" w:rsidR="4084DEDB">
        <w:rPr>
          <w:rFonts w:ascii="Times New Roman" w:hAnsi="Times New Roman" w:cs="Times New Roman"/>
        </w:rPr>
        <w:t xml:space="preserve"> </w:t>
      </w:r>
      <w:r w:rsidRPr="4084DEDB" w:rsidR="4084DEDB">
        <w:rPr>
          <w:rFonts w:ascii="Times New Roman" w:hAnsi="Times New Roman" w:cs="Times New Roman"/>
        </w:rPr>
        <w:t>January</w:t>
      </w:r>
      <w:r w:rsidRPr="4084DEDB" w:rsidR="4084DEDB">
        <w:rPr>
          <w:rFonts w:ascii="Times New Roman" w:hAnsi="Times New Roman" w:cs="Times New Roman"/>
        </w:rPr>
        <w:t xml:space="preserve"> – this will hopefully deter reckless </w:t>
      </w:r>
      <w:r w:rsidRPr="4084DEDB" w:rsidR="4084DEDB">
        <w:rPr>
          <w:rFonts w:ascii="Times New Roman" w:hAnsi="Times New Roman" w:cs="Times New Roman"/>
        </w:rPr>
        <w:t xml:space="preserve">driving </w:t>
      </w:r>
      <w:r w:rsidRPr="4084DEDB" w:rsidR="4084DEDB">
        <w:rPr>
          <w:rFonts w:ascii="Times New Roman" w:hAnsi="Times New Roman" w:cs="Times New Roman"/>
        </w:rPr>
        <w:t>and</w:t>
      </w:r>
      <w:r w:rsidRPr="4084DEDB" w:rsidR="4084DEDB">
        <w:rPr>
          <w:rFonts w:ascii="Times New Roman" w:hAnsi="Times New Roman" w:cs="Times New Roman"/>
        </w:rPr>
        <w:t xml:space="preserve"> encourage cautious driving, during the peak winter month. </w:t>
      </w:r>
    </w:p>
    <w:p w:rsidR="008A7E00" w:rsidP="00DF42A6" w:rsidRDefault="008A7E00" w14:paraId="3BAE7496" w14:textId="77777777">
      <w:pPr>
        <w:rPr>
          <w:rFonts w:ascii="Times New Roman" w:hAnsi="Times New Roman" w:cs="Times New Roman"/>
        </w:rPr>
      </w:pPr>
    </w:p>
    <w:p w:rsidR="00DF42A6" w:rsidP="00DF42A6" w:rsidRDefault="00DF42A6" w14:paraId="0269FB83" w14:textId="107B4213">
      <w:pPr>
        <w:rPr>
          <w:rFonts w:ascii="Times New Roman" w:hAnsi="Times New Roman" w:cs="Times New Roman"/>
        </w:rPr>
      </w:pPr>
      <w:r>
        <w:rPr>
          <w:rFonts w:ascii="Times New Roman" w:hAnsi="Times New Roman" w:cs="Times New Roman"/>
        </w:rPr>
        <w:t>The current Midwest region is st</w:t>
      </w:r>
      <w:r w:rsidR="008A7E00">
        <w:rPr>
          <w:rFonts w:ascii="Times New Roman" w:hAnsi="Times New Roman" w:cs="Times New Roman"/>
        </w:rPr>
        <w:t>rongly associated with cluster 4</w:t>
      </w:r>
      <w:r>
        <w:rPr>
          <w:rFonts w:ascii="Times New Roman" w:hAnsi="Times New Roman" w:cs="Times New Roman"/>
        </w:rPr>
        <w:t>. So I will use the same pricing strategy as I’ve mentioned above.</w:t>
      </w:r>
    </w:p>
    <w:p w:rsidR="00DF42A6" w:rsidRDefault="00DF42A6" w14:paraId="2A647830" w14:textId="77777777">
      <w:bookmarkStart w:name="_GoBack" w:id="0"/>
      <w:bookmarkEnd w:id="0"/>
    </w:p>
    <w:sectPr w:rsidR="00DF42A6" w:rsidSect="0044450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2756B"/>
    <w:multiLevelType w:val="hybridMultilevel"/>
    <w:tmpl w:val="8F181A9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Headley Appollis">
    <w15:presenceInfo w15:providerId="AD" w15:userId="10037FFEA1E420A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A6"/>
    <w:rsid w:val="0004345C"/>
    <w:rsid w:val="00090227"/>
    <w:rsid w:val="002568B7"/>
    <w:rsid w:val="002951B5"/>
    <w:rsid w:val="002B34B2"/>
    <w:rsid w:val="002B4C84"/>
    <w:rsid w:val="003A3291"/>
    <w:rsid w:val="00407A82"/>
    <w:rsid w:val="0044450B"/>
    <w:rsid w:val="004F0193"/>
    <w:rsid w:val="00500F4A"/>
    <w:rsid w:val="008A7E00"/>
    <w:rsid w:val="008C6098"/>
    <w:rsid w:val="00A07F0A"/>
    <w:rsid w:val="00A9174C"/>
    <w:rsid w:val="00AA21F5"/>
    <w:rsid w:val="00D7797A"/>
    <w:rsid w:val="00DF42A6"/>
    <w:rsid w:val="4084D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13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42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C60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314896">
      <w:bodyDiv w:val="1"/>
      <w:marLeft w:val="0"/>
      <w:marRight w:val="0"/>
      <w:marTop w:val="0"/>
      <w:marBottom w:val="0"/>
      <w:divBdr>
        <w:top w:val="none" w:sz="0" w:space="0" w:color="auto"/>
        <w:left w:val="none" w:sz="0" w:space="0" w:color="auto"/>
        <w:bottom w:val="none" w:sz="0" w:space="0" w:color="auto"/>
        <w:right w:val="none" w:sz="0" w:space="0" w:color="auto"/>
      </w:divBdr>
    </w:div>
    <w:div w:id="1819953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 Type="http://schemas.microsoft.com/office/2011/relationships/people" Target="/word/people.xml" Id="R2e98b6770f5a4f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Headley - personal use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Headley Appollis</dc:creator>
  <keywords/>
  <dc:description/>
  <lastModifiedBy>Headley Appollis</lastModifiedBy>
  <revision>9</revision>
  <dcterms:created xsi:type="dcterms:W3CDTF">2017-12-02T03:14:00.0000000Z</dcterms:created>
  <dcterms:modified xsi:type="dcterms:W3CDTF">2017-12-05T02:55:15.0144519Z</dcterms:modified>
</coreProperties>
</file>