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Jane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CEO, Innovation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Jane Smith is a visionary leader with over 25 years of experience in the tech industry.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the CEO of Innovation Labs, she has led the development of groundbreaking technologies that have transformed industries.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Jane is passionate about using technology to solve global challenges and make a positive impact on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John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CTO, Tech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John Johnson is a renowned technology expert with a proven track record of delivering innovative solutions.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the CTO of Tech Solutions, he oversees the development of cutting-edge technologies that are used by millions of people around the world.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John is committed to pushing the boundaries of what is possible and creating technologies that make a meaningful difference.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Sarah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AI Research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Sarah Williams is a brilliant AI researcher with a deep understanding of machine learning and natural language processing.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the AI Research Director at Tech Solutions, she leads a team of researchers who are developing next-generation AI technologies.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Sarah is passionate about using AI to solve real-world problems and make the world a better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