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lineRule="auto" w:line="240"/>
        <w:rPr>
          <w:rFonts w:ascii="Times New Roman" w:cs="Times New Roman" w:hAnsi="Times New Roman"/>
          <w:b/>
          <w:sz w:val="52"/>
          <w:szCs w:val="48"/>
        </w:rPr>
      </w:pPr>
      <w:r>
        <w:rPr>
          <w:rFonts w:ascii="Times New Roman" w:cs="Times New Roman" w:eastAsia="Times New Roman" w:hAnsi="Times New Roman"/>
          <w:b/>
          <w:color w:val="0070c0"/>
          <w:sz w:val="44"/>
          <w:szCs w:val="44"/>
        </w:rPr>
        <w:t>UGHANZE RUTH KASARACHI</w:t>
      </w:r>
    </w:p>
    <w:p>
      <w:pPr>
        <w:pStyle w:val="style0"/>
        <w:rPr>
          <w:rFonts w:ascii="Times New Roman" w:cs="Times New Roman" w:hAnsi="Times New Roman"/>
          <w:bCs/>
          <w:sz w:val="24"/>
          <w:szCs w:val="24"/>
          <w:lang w:val="en-GB"/>
        </w:rPr>
      </w:pPr>
      <w:r>
        <w:rPr>
          <w:rFonts w:ascii="Times New Roman" w:cs="Times New Roman" w:hAnsi="Times New Roman"/>
          <w:bCs/>
          <w:noProof/>
          <w:sz w:val="24"/>
          <w:szCs w:val="24"/>
          <w:lang w:val="en-US"/>
        </w:rPr>
        <w:drawing>
          <wp:anchor distT="0" distB="0" distL="114300" distR="114300" simplePos="false" relativeHeight="3" behindDoc="true" locked="false" layoutInCell="true" allowOverlap="true">
            <wp:simplePos x="0" y="0"/>
            <wp:positionH relativeFrom="column">
              <wp:posOffset>-16000</wp:posOffset>
            </wp:positionH>
            <wp:positionV relativeFrom="paragraph">
              <wp:posOffset>27940</wp:posOffset>
            </wp:positionV>
            <wp:extent cx="184785" cy="184785"/>
            <wp:effectExtent l="0" t="0" r="0" b="5715"/>
            <wp:wrapTight wrapText="bothSides">
              <wp:wrapPolygon edited="false">
                <wp:start x="4454" y="0"/>
                <wp:lineTo x="4454" y="5938"/>
                <wp:lineTo x="5938" y="17814"/>
                <wp:lineTo x="7423" y="20784"/>
                <wp:lineTo x="13361" y="20784"/>
                <wp:lineTo x="17814" y="5938"/>
                <wp:lineTo x="16330" y="0"/>
                <wp:lineTo x="4454" y="0"/>
              </wp:wrapPolygon>
            </wp:wrapTight>
            <wp:docPr id="1026" name="Graphic 10" descr="Marker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10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4785" cy="184785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cs="Times New Roman" w:hAnsi="Times New Roman"/>
          <w:sz w:val="24"/>
          <w:szCs w:val="24"/>
        </w:rPr>
        <w:t>Plot AT 406 Apo Mechanic estate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bCs/>
          <w:sz w:val="24"/>
          <w:szCs w:val="24"/>
          <w:lang w:val="en-GB"/>
        </w:rPr>
        <w:t>Abuja</w:t>
      </w:r>
      <w:r>
        <w:rPr>
          <w:rFonts w:ascii="Times New Roman" w:cs="Times New Roman" w:hAnsi="Times New Roman"/>
          <w:bCs/>
          <w:sz w:val="24"/>
          <w:szCs w:val="24"/>
          <w:lang w:val="en-GB"/>
        </w:rPr>
        <w:t>, Nigeria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u w:val="single"/>
          <w:lang w:val="en-US"/>
        </w:rPr>
      </w:pPr>
      <w:r>
        <w:rPr>
          <w:rFonts w:ascii="Times New Roman" w:cs="Times New Roman" w:hAnsi="Times New Roman"/>
          <w:bCs/>
          <w:noProof/>
          <w:sz w:val="24"/>
          <w:szCs w:val="24"/>
          <w:u w:val="single"/>
          <w:lang w:val="en-US"/>
        </w:rPr>
        <w:drawing>
          <wp:anchor distT="0" distB="0" distL="114300" distR="114300" simplePos="false" relativeHeight="4" behindDoc="true" locked="false" layoutInCell="true" allowOverlap="true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171450" cy="171450"/>
            <wp:effectExtent l="0" t="0" r="0" b="0"/>
            <wp:wrapTight wrapText="bothSides">
              <wp:wrapPolygon edited="false">
                <wp:start x="0" y="0"/>
                <wp:lineTo x="0" y="19200"/>
                <wp:lineTo x="19200" y="19200"/>
                <wp:lineTo x="19200" y="0"/>
                <wp:lineTo x="0" y="0"/>
              </wp:wrapPolygon>
            </wp:wrapTight>
            <wp:docPr id="1027" name="Graphic 25" descr="Envelope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25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 flipH="1">
                      <a:off x="0" y="0"/>
                      <a:ext cx="171450" cy="17145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cs="Times New Roman" w:hAnsi="Times New Roman"/>
          <w:sz w:val="24"/>
          <w:szCs w:val="24"/>
          <w:u w:val="single"/>
        </w:rPr>
        <w:t>ughanzeruth@yahoo.com</w:t>
      </w:r>
      <w:r>
        <w:rPr>
          <w:rFonts w:ascii="Times New Roman" w:cs="Times New Roman" w:hAnsi="Times New Roman"/>
          <w:sz w:val="24"/>
          <w:szCs w:val="24"/>
          <w:u w:val="single"/>
          <w:lang w:val="en-US"/>
        </w:rPr>
        <w:t xml:space="preserve">,  ughanzeruth@gmail.com </w:t>
      </w:r>
    </w:p>
    <w:p>
      <w:pPr>
        <w:pStyle w:val="style0"/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Cs/>
          <w:noProof/>
          <w:sz w:val="24"/>
          <w:szCs w:val="24"/>
          <w:lang w:val="en-US"/>
        </w:rPr>
        <w:drawing>
          <wp:inline distL="0" distT="0" distB="0" distR="0">
            <wp:extent cx="115570" cy="115570"/>
            <wp:effectExtent l="0" t="0" r="0" b="0"/>
            <wp:docPr id="1028" name="Graphic 6" descr="Smart Phone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6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5570" cy="11557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+2348032724626, +2347065936880</w:t>
      </w:r>
    </w:p>
    <w:p>
      <w:pPr>
        <w:pStyle w:val="style0"/>
        <w:spacing w:after="120" w:lineRule="auto" w:line="258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Cs/>
          <w:noProof/>
          <w:sz w:val="24"/>
          <w:szCs w:val="24"/>
          <w:lang w:val="en-US"/>
        </w:rPr>
        <w:drawing>
          <wp:anchor distT="0" distB="0" distL="114300" distR="114300" simplePos="false" relativeHeight="5" behindDoc="true" locked="false" layoutInCell="true" allowOverlap="true">
            <wp:simplePos x="0" y="0"/>
            <wp:positionH relativeFrom="margin">
              <wp:align>left</wp:align>
            </wp:positionH>
            <wp:positionV relativeFrom="page">
              <wp:posOffset>2049672</wp:posOffset>
            </wp:positionV>
            <wp:extent cx="148590" cy="148588"/>
            <wp:effectExtent l="0" t="0" r="3810" b="3810"/>
            <wp:wrapTight wrapText="bothSides">
              <wp:wrapPolygon edited="false">
                <wp:start x="0" y="0"/>
                <wp:lineTo x="0" y="19385"/>
                <wp:lineTo x="19385" y="19385"/>
                <wp:lineTo x="19385" y="0"/>
                <wp:lineTo x="0" y="0"/>
              </wp:wrapPolygon>
            </wp:wrapTight>
            <wp:docPr id="1029" name="Graphic 7" descr="Family with two children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7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8590" cy="148588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cs="Times New Roman" w:hAnsi="Times New Roman"/>
          <w:sz w:val="24"/>
          <w:szCs w:val="24"/>
          <w:lang w:val="en-GB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GB"/>
        </w:rPr>
        <w:tab/>
      </w:r>
      <w:r>
        <w:rPr>
          <w:rFonts w:ascii="Times New Roman" w:cs="Times New Roman" w:eastAsia="GungsuhChe" w:hAnsi="Times New Roman"/>
          <w:sz w:val="24"/>
          <w:szCs w:val="24"/>
          <w:lang w:val="en-GB"/>
        </w:rPr>
        <w:t>Married</w:t>
      </w:r>
    </w:p>
    <w:p>
      <w:pPr>
        <w:pStyle w:val="style1"/>
        <w:spacing w:before="0" w:after="33" w:lineRule="auto" w:line="265"/>
        <w:ind w:right="107"/>
        <w:jc w:val="both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1"/>
        <w:spacing w:before="0" w:after="33" w:lineRule="auto" w:line="265"/>
        <w:ind w:left="-5" w:right="107"/>
        <w:jc w:val="both"/>
        <w:rPr>
          <w:noProof/>
        </w:rPr>
      </w:pPr>
      <w:r>
        <w:rPr>
          <w:rFonts w:ascii="Times New Roman" w:cs="Times New Roman" w:eastAsia="Times New Roman" w:hAnsi="Times New Roman"/>
          <w:b/>
          <w:color w:val="0070c0"/>
          <w:sz w:val="24"/>
          <w:szCs w:val="24"/>
        </w:rPr>
        <w:t>PROFESSIONAL SUMMARY</w: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-12699</wp:posOffset>
                </wp:positionH>
                <wp:positionV relativeFrom="paragraph">
                  <wp:posOffset>152400</wp:posOffset>
                </wp:positionV>
                <wp:extent cx="5930900" cy="38100"/>
                <wp:effectExtent l="0" t="0" r="0" b="0"/>
                <wp:wrapNone/>
                <wp:docPr id="1030" name="Straight Arrow Connector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5930900" cy="38100"/>
                        </a:xfrm>
                        <a:prstGeom prst="straightConnector1"/>
                        <a:ln cmpd="sng" cap="flat" w="25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  <a:effectLst>
                          <a:outerShdw rotWithShape="false" sx="100000" sy="100000" dist="12700" dir="5400000" blurRad="0" kx="0" ky="0" algn="b">
                            <a:srgbClr val="000000">
                              <a:alpha val="37254"/>
                            </a:srgbClr>
                          </a:outerShdw>
                        </a:effectLst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30" type="#_x0000_t32" filled="f" style="position:absolute;margin-left:-1.0pt;margin-top:12.0pt;width:467.0pt;height:3.0pt;z-index:2;mso-position-horizontal-relative:text;mso-position-vertical-relative:text;mso-width-relative:page;mso-height-relative:page;mso-wrap-distance-left:0.0pt;mso-wrap-distance-right:0.0pt;visibility:visible;rotation:11796480fd;flip:x;">
                <v:stroke startarrowwidth="narrow" startarrowlength="short" endarrowwidth="narrow" endarrowlength="short" weight="2.0pt"/>
                <v:fill/>
                <v:shadow on="t" color="black" offset="-4.371139E-8pt,1.0pt" opacity="24414f" origin=",0.5" type="perspective"/>
              </v:shape>
            </w:pict>
          </mc:Fallback>
        </mc:AlternateContent>
      </w:r>
    </w:p>
    <w:bookmarkStart w:id="0" w:name="_fel20i3fx891" w:colFirst="0" w:colLast="0"/>
    <w:bookmarkEnd w:id="0"/>
    <w:p>
      <w:pPr>
        <w:pStyle w:val="style0"/>
        <w:spacing w:after="153" w:lineRule="auto" w:line="265"/>
        <w:ind w:left="10" w:right="107"/>
        <w:jc w:val="both"/>
        <w:rPr>
          <w:rFonts w:ascii="Times New Roman" w:cs="Times New Roman" w:hAnsi="Times New Roman"/>
          <w:color w:val="000000"/>
          <w:sz w:val="28"/>
          <w:szCs w:val="28"/>
          <w:lang w:val="en-GB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GB"/>
        </w:rPr>
        <w:t>Passionate about utilizing my knowledge and experience in health care and education to promote the health and wellness of the community and the advancement of the profession of nursing.</w:t>
      </w:r>
    </w:p>
    <w:p>
      <w:pPr>
        <w:pStyle w:val="style0"/>
        <w:spacing w:after="153" w:lineRule="auto" w:line="265"/>
        <w:ind w:left="10" w:right="107"/>
        <w:jc w:val="both"/>
        <w:rPr>
          <w:rFonts w:ascii="Times New Roman" w:cs="Times New Roman" w:hAnsi="Times New Roman"/>
          <w:color w:val="000000"/>
          <w:sz w:val="28"/>
          <w:szCs w:val="28"/>
          <w:lang w:val="en-GB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GB"/>
        </w:rPr>
        <w:t>WORK HISTORY</w:t>
      </w:r>
    </w:p>
    <w:p>
      <w:pPr>
        <w:pStyle w:val="style0"/>
        <w:spacing w:after="153" w:lineRule="auto" w:line="265"/>
        <w:ind w:left="10" w:right="107"/>
        <w:jc w:val="both"/>
        <w:rPr>
          <w:rFonts w:ascii="Times New Roman" w:cs="Times New Roman" w:hAnsi="Times New Roman"/>
          <w:color w:val="000000"/>
          <w:sz w:val="28"/>
          <w:szCs w:val="28"/>
          <w:lang w:val="en-GB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GB"/>
        </w:rPr>
        <w:t>Head of Nursing unit 10/2020 to current</w:t>
      </w:r>
    </w:p>
    <w:p>
      <w:pPr>
        <w:pStyle w:val="style0"/>
        <w:spacing w:after="153" w:lineRule="auto" w:line="265"/>
        <w:ind w:left="10" w:right="107"/>
        <w:jc w:val="both"/>
        <w:rPr>
          <w:rFonts w:ascii="Times New Roman" w:cs="Times New Roman" w:hAnsi="Times New Roman"/>
          <w:color w:val="000000"/>
          <w:sz w:val="28"/>
          <w:szCs w:val="28"/>
          <w:highlight w:val="yellow"/>
          <w:lang w:val="en-GB"/>
        </w:rPr>
      </w:pPr>
      <w:r>
        <w:rPr>
          <w:rFonts w:ascii="Times New Roman" w:cs="Times New Roman" w:hAnsi="Times New Roman"/>
          <w:color w:val="000000"/>
          <w:sz w:val="28"/>
          <w:szCs w:val="28"/>
          <w:highlight w:val="yellow"/>
          <w:lang w:val="en-GB"/>
        </w:rPr>
        <w:t>Gibonna womens’ hospital Abuja.</w:t>
      </w:r>
    </w:p>
    <w:tbl>
      <w:tblPr>
        <w:tblStyle w:val="style154"/>
        <w:tblW w:w="0" w:type="auto"/>
        <w:tblInd w:w="10" w:type="dxa"/>
        <w:tblLook w:val="04A0" w:firstRow="1" w:lastRow="0" w:firstColumn="1" w:lastColumn="0" w:noHBand="0" w:noVBand="1"/>
      </w:tblPr>
      <w:tblGrid>
        <w:gridCol w:w="3843"/>
        <w:gridCol w:w="4101"/>
      </w:tblGrid>
      <w:tr>
        <w:trPr>
          <w:trHeight w:val="366" w:hRule="atLeast"/>
        </w:trPr>
        <w:tc>
          <w:tcPr>
            <w:tcW w:w="3843" w:type="dxa"/>
            <w:tcBorders/>
          </w:tcPr>
          <w:p>
            <w:pPr>
              <w:pStyle w:val="style0"/>
              <w:spacing w:after="153" w:lineRule="auto" w:line="265"/>
              <w:ind w:right="107"/>
              <w:jc w:val="both"/>
              <w:rPr>
                <w:rFonts w:ascii="Times New Roman" w:cs="Times New Roman" w:hAnsi="Times New Roman"/>
                <w:color w:val="000000"/>
                <w:sz w:val="28"/>
                <w:szCs w:val="28"/>
                <w:lang w:val="en-GB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en-GB"/>
              </w:rPr>
              <w:t>Description</w:t>
            </w:r>
          </w:p>
        </w:tc>
        <w:tc>
          <w:tcPr>
            <w:tcW w:w="4101" w:type="dxa"/>
            <w:tcBorders/>
          </w:tcPr>
          <w:p>
            <w:pPr>
              <w:pStyle w:val="style0"/>
              <w:spacing w:after="153" w:lineRule="auto" w:line="265"/>
              <w:ind w:right="107"/>
              <w:jc w:val="both"/>
              <w:rPr>
                <w:rFonts w:ascii="Times New Roman" w:cs="Times New Roman" w:hAnsi="Times New Roman"/>
                <w:color w:val="000000"/>
                <w:sz w:val="28"/>
                <w:szCs w:val="28"/>
                <w:lang w:val="en-GB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en-GB"/>
              </w:rPr>
              <w:t>Hospital level: secondary bed capacity:10 Beds</w:t>
            </w:r>
          </w:p>
        </w:tc>
      </w:tr>
      <w:tr>
        <w:tblPrEx/>
        <w:trPr>
          <w:trHeight w:val="355" w:hRule="atLeast"/>
        </w:trPr>
        <w:tc>
          <w:tcPr>
            <w:tcW w:w="3843" w:type="dxa"/>
            <w:tcBorders/>
          </w:tcPr>
          <w:p>
            <w:pPr>
              <w:pStyle w:val="style0"/>
              <w:spacing w:after="153" w:lineRule="auto" w:line="265"/>
              <w:ind w:right="107"/>
              <w:jc w:val="both"/>
              <w:rPr>
                <w:rFonts w:ascii="Times New Roman" w:cs="Times New Roman" w:hAnsi="Times New Roman"/>
                <w:color w:val="000000"/>
                <w:sz w:val="28"/>
                <w:szCs w:val="28"/>
                <w:lang w:val="en-GB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en-GB"/>
              </w:rPr>
              <w:t>Department</w:t>
            </w:r>
          </w:p>
        </w:tc>
        <w:tc>
          <w:tcPr>
            <w:tcW w:w="4101" w:type="dxa"/>
            <w:tcBorders/>
          </w:tcPr>
          <w:p>
            <w:pPr>
              <w:pStyle w:val="style0"/>
              <w:spacing w:after="153" w:lineRule="auto" w:line="265"/>
              <w:ind w:right="107"/>
              <w:jc w:val="both"/>
              <w:rPr>
                <w:rFonts w:ascii="Times New Roman" w:cs="Times New Roman" w:hAnsi="Times New Roman"/>
                <w:color w:val="000000"/>
                <w:sz w:val="28"/>
                <w:szCs w:val="28"/>
                <w:lang w:val="en-GB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en-GB"/>
              </w:rPr>
              <w:t>General outpatient/ maternity wards</w:t>
            </w:r>
          </w:p>
        </w:tc>
      </w:tr>
      <w:tr>
        <w:tblPrEx/>
        <w:trPr>
          <w:trHeight w:val="366" w:hRule="atLeast"/>
        </w:trPr>
        <w:tc>
          <w:tcPr>
            <w:tcW w:w="3843" w:type="dxa"/>
            <w:tcBorders/>
          </w:tcPr>
          <w:p>
            <w:pPr>
              <w:pStyle w:val="style0"/>
              <w:spacing w:after="153" w:lineRule="auto" w:line="265"/>
              <w:ind w:right="107"/>
              <w:jc w:val="both"/>
              <w:rPr>
                <w:rFonts w:ascii="Times New Roman" w:cs="Times New Roman" w:hAnsi="Times New Roman"/>
                <w:color w:val="000000"/>
                <w:sz w:val="28"/>
                <w:szCs w:val="28"/>
                <w:lang w:val="en-GB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en-GB"/>
              </w:rPr>
              <w:t>Patient census per day</w:t>
            </w:r>
          </w:p>
        </w:tc>
        <w:tc>
          <w:tcPr>
            <w:tcW w:w="4101" w:type="dxa"/>
            <w:tcBorders/>
          </w:tcPr>
          <w:p>
            <w:pPr>
              <w:pStyle w:val="style0"/>
              <w:spacing w:after="153" w:lineRule="auto" w:line="265"/>
              <w:ind w:right="107"/>
              <w:jc w:val="both"/>
              <w:rPr>
                <w:rFonts w:ascii="Times New Roman" w:cs="Times New Roman" w:hAnsi="Times New Roman"/>
                <w:color w:val="000000"/>
                <w:sz w:val="28"/>
                <w:szCs w:val="28"/>
                <w:lang w:val="en-GB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en-GB"/>
              </w:rPr>
              <w:t>Minimum of 6 patients</w:t>
            </w:r>
          </w:p>
        </w:tc>
      </w:tr>
      <w:tr>
        <w:tblPrEx/>
        <w:trPr>
          <w:trHeight w:val="355" w:hRule="atLeast"/>
        </w:trPr>
        <w:tc>
          <w:tcPr>
            <w:tcW w:w="3843" w:type="dxa"/>
            <w:tcBorders/>
          </w:tcPr>
          <w:p>
            <w:pPr>
              <w:pStyle w:val="style0"/>
              <w:spacing w:after="153" w:lineRule="auto" w:line="265"/>
              <w:ind w:right="107"/>
              <w:jc w:val="both"/>
              <w:rPr>
                <w:rFonts w:ascii="Times New Roman" w:cs="Times New Roman" w:hAnsi="Times New Roman"/>
                <w:color w:val="000000"/>
                <w:sz w:val="28"/>
                <w:szCs w:val="28"/>
                <w:lang w:val="en-GB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en-GB"/>
              </w:rPr>
              <w:t>Type of patient handled</w:t>
            </w:r>
          </w:p>
        </w:tc>
        <w:tc>
          <w:tcPr>
            <w:tcW w:w="4101" w:type="dxa"/>
            <w:tcBorders/>
          </w:tcPr>
          <w:p>
            <w:pPr>
              <w:pStyle w:val="style0"/>
              <w:spacing w:after="153" w:lineRule="auto" w:line="265"/>
              <w:ind w:right="107"/>
              <w:jc w:val="both"/>
              <w:rPr>
                <w:rFonts w:ascii="Times New Roman" w:cs="Times New Roman" w:hAnsi="Times New Roman"/>
                <w:color w:val="000000"/>
                <w:sz w:val="28"/>
                <w:szCs w:val="28"/>
                <w:lang w:val="en-GB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en-GB"/>
              </w:rPr>
              <w:t xml:space="preserve">Antenatal, delivery, </w:t>
            </w: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en-GB"/>
              </w:rPr>
              <w:t>post partum</w:t>
            </w: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en-GB"/>
              </w:rPr>
              <w:t xml:space="preserve">, </w:t>
            </w: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en-GB"/>
              </w:rPr>
              <w:t>post operative</w:t>
            </w: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en-GB"/>
              </w:rPr>
              <w:t>, family planning</w:t>
            </w:r>
          </w:p>
        </w:tc>
      </w:tr>
    </w:tbl>
    <w:p>
      <w:pPr>
        <w:pStyle w:val="style0"/>
        <w:spacing w:after="153" w:lineRule="auto" w:line="265"/>
        <w:ind w:left="10" w:right="107"/>
        <w:jc w:val="both"/>
        <w:rPr>
          <w:rFonts w:ascii="Times New Roman" w:cs="Times New Roman" w:hAnsi="Times New Roman"/>
          <w:color w:val="000000"/>
          <w:sz w:val="28"/>
          <w:szCs w:val="28"/>
          <w:lang w:val="en-GB"/>
        </w:rPr>
      </w:pPr>
    </w:p>
    <w:p>
      <w:pPr>
        <w:pStyle w:val="style0"/>
        <w:spacing w:after="153" w:lineRule="auto" w:line="265"/>
        <w:ind w:left="10" w:right="107"/>
        <w:jc w:val="both"/>
        <w:rPr>
          <w:rFonts w:ascii="Times New Roman" w:cs="Times New Roman" w:hAnsi="Times New Roman"/>
          <w:color w:val="000000"/>
          <w:sz w:val="28"/>
          <w:szCs w:val="28"/>
          <w:lang w:val="en-GB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GB"/>
        </w:rPr>
        <w:t>Duties and responsibilities</w:t>
      </w:r>
    </w:p>
    <w:p>
      <w:pPr>
        <w:pStyle w:val="style179"/>
        <w:numPr>
          <w:ilvl w:val="0"/>
          <w:numId w:val="1"/>
        </w:numPr>
        <w:spacing w:after="153" w:lineRule="auto" w:line="265"/>
        <w:ind w:right="107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>Conduct antenatal classes</w:t>
      </w:r>
    </w:p>
    <w:p>
      <w:pPr>
        <w:pStyle w:val="style179"/>
        <w:numPr>
          <w:ilvl w:val="0"/>
          <w:numId w:val="1"/>
        </w:numPr>
        <w:spacing w:after="153" w:lineRule="auto" w:line="265"/>
        <w:ind w:right="107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>Supervise other nursing activities.</w:t>
      </w:r>
    </w:p>
    <w:p>
      <w:pPr>
        <w:pStyle w:val="style179"/>
        <w:numPr>
          <w:ilvl w:val="0"/>
          <w:numId w:val="1"/>
        </w:numPr>
        <w:spacing w:after="153" w:lineRule="auto" w:line="265"/>
        <w:ind w:right="107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 xml:space="preserve">Prepare monthly work schedule for nurses </w:t>
      </w:r>
      <w:r>
        <w:rPr>
          <w:color w:val="000000"/>
          <w:sz w:val="28"/>
          <w:szCs w:val="28"/>
          <w:lang w:val="en-GB"/>
        </w:rPr>
        <w:t>andhealth</w:t>
      </w:r>
      <w:r>
        <w:rPr>
          <w:color w:val="000000"/>
          <w:sz w:val="28"/>
          <w:szCs w:val="28"/>
          <w:lang w:val="en-GB"/>
        </w:rPr>
        <w:t xml:space="preserve"> care attendants</w:t>
      </w:r>
    </w:p>
    <w:p>
      <w:pPr>
        <w:pStyle w:val="style179"/>
        <w:numPr>
          <w:ilvl w:val="0"/>
          <w:numId w:val="1"/>
        </w:numPr>
        <w:spacing w:after="153" w:lineRule="auto" w:line="265"/>
        <w:ind w:right="107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>Admit and prepare patients for surgery.</w:t>
      </w:r>
    </w:p>
    <w:p>
      <w:pPr>
        <w:pStyle w:val="style179"/>
        <w:numPr>
          <w:ilvl w:val="0"/>
          <w:numId w:val="1"/>
        </w:numPr>
        <w:spacing w:after="153" w:lineRule="auto" w:line="265"/>
        <w:ind w:right="107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>Assist surgeon during surgical operations.</w:t>
      </w:r>
    </w:p>
    <w:p>
      <w:pPr>
        <w:pStyle w:val="style179"/>
        <w:numPr>
          <w:ilvl w:val="0"/>
          <w:numId w:val="1"/>
        </w:numPr>
        <w:spacing w:after="153" w:lineRule="auto" w:line="265"/>
        <w:ind w:right="107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>Monitor patient’s surgical site(s), clean and redress wound as necessary.</w:t>
      </w:r>
    </w:p>
    <w:p>
      <w:pPr>
        <w:pStyle w:val="style179"/>
        <w:numPr>
          <w:ilvl w:val="0"/>
          <w:numId w:val="1"/>
        </w:numPr>
        <w:spacing w:after="153" w:lineRule="auto" w:line="265"/>
        <w:ind w:right="107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>Provide family planning services</w:t>
      </w:r>
    </w:p>
    <w:p>
      <w:pPr>
        <w:pStyle w:val="style179"/>
        <w:numPr>
          <w:ilvl w:val="0"/>
          <w:numId w:val="1"/>
        </w:numPr>
        <w:spacing w:after="153" w:lineRule="auto" w:line="265"/>
        <w:ind w:right="107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>Conduct normal deliveries</w:t>
      </w:r>
    </w:p>
    <w:p>
      <w:pPr>
        <w:pStyle w:val="style0"/>
        <w:spacing w:after="153" w:lineRule="auto" w:line="265"/>
        <w:ind w:left="370" w:right="107"/>
        <w:jc w:val="both"/>
        <w:rPr>
          <w:color w:val="000000"/>
          <w:sz w:val="28"/>
          <w:szCs w:val="28"/>
          <w:lang w:val="en-GB"/>
        </w:rPr>
      </w:pPr>
    </w:p>
    <w:p>
      <w:pPr>
        <w:pStyle w:val="style0"/>
        <w:spacing w:after="153" w:lineRule="auto" w:line="265"/>
        <w:ind w:left="370" w:right="107"/>
        <w:jc w:val="both"/>
        <w:rPr>
          <w:color w:val="000000"/>
          <w:sz w:val="28"/>
          <w:szCs w:val="28"/>
          <w:lang w:val="en-GB"/>
        </w:rPr>
      </w:pPr>
    </w:p>
    <w:p>
      <w:pPr>
        <w:pStyle w:val="style0"/>
        <w:spacing w:after="153" w:lineRule="auto" w:line="265"/>
        <w:ind w:left="370" w:right="107"/>
        <w:jc w:val="both"/>
        <w:rPr>
          <w:color w:val="000000"/>
          <w:sz w:val="28"/>
          <w:szCs w:val="28"/>
          <w:highlight w:val="yellow"/>
          <w:lang w:val="en-GB"/>
        </w:rPr>
      </w:pPr>
      <w:r>
        <w:rPr>
          <w:color w:val="000000"/>
          <w:sz w:val="28"/>
          <w:szCs w:val="28"/>
          <w:highlight w:val="yellow"/>
          <w:lang w:val="en-GB"/>
        </w:rPr>
        <w:t>Senior nursing officer, 01/2018 to 09/2020</w:t>
      </w:r>
    </w:p>
    <w:p>
      <w:pPr>
        <w:pStyle w:val="style0"/>
        <w:spacing w:after="153" w:lineRule="auto" w:line="265"/>
        <w:ind w:left="370" w:right="107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>Cedacrest hospitals Abuja</w:t>
      </w:r>
    </w:p>
    <w:tbl>
      <w:tblPr>
        <w:tblStyle w:val="style154"/>
        <w:tblW w:w="9142" w:type="dxa"/>
        <w:tblInd w:w="370" w:type="dxa"/>
        <w:tblLook w:val="04A0" w:firstRow="1" w:lastRow="0" w:firstColumn="1" w:lastColumn="0" w:noHBand="0" w:noVBand="1"/>
      </w:tblPr>
      <w:tblGrid>
        <w:gridCol w:w="4571"/>
        <w:gridCol w:w="4571"/>
      </w:tblGrid>
      <w:tr>
        <w:trPr>
          <w:trHeight w:val="351" w:hRule="atLeast"/>
        </w:trPr>
        <w:tc>
          <w:tcPr>
            <w:tcW w:w="4571" w:type="dxa"/>
            <w:tcBorders/>
          </w:tcPr>
          <w:p>
            <w:pPr>
              <w:pStyle w:val="style0"/>
              <w:spacing w:after="153" w:lineRule="auto" w:line="265"/>
              <w:ind w:right="107"/>
              <w:jc w:val="both"/>
              <w:rPr>
                <w:color w:val="000000"/>
                <w:sz w:val="28"/>
                <w:szCs w:val="28"/>
                <w:lang w:val="en-GB"/>
              </w:rPr>
            </w:pPr>
            <w:r>
              <w:rPr>
                <w:color w:val="000000"/>
                <w:sz w:val="28"/>
                <w:szCs w:val="28"/>
                <w:lang w:val="en-GB"/>
              </w:rPr>
              <w:t xml:space="preserve">Description </w:t>
            </w:r>
          </w:p>
        </w:tc>
        <w:tc>
          <w:tcPr>
            <w:tcW w:w="4571" w:type="dxa"/>
            <w:tcBorders/>
          </w:tcPr>
          <w:p>
            <w:pPr>
              <w:pStyle w:val="style0"/>
              <w:spacing w:after="153" w:lineRule="auto" w:line="265"/>
              <w:ind w:right="107"/>
              <w:jc w:val="both"/>
              <w:rPr>
                <w:color w:val="000000"/>
                <w:sz w:val="28"/>
                <w:szCs w:val="28"/>
                <w:lang w:val="en-GB"/>
              </w:rPr>
            </w:pPr>
            <w:r>
              <w:rPr>
                <w:color w:val="000000"/>
                <w:sz w:val="28"/>
                <w:szCs w:val="28"/>
                <w:lang w:val="en-GB"/>
              </w:rPr>
              <w:t xml:space="preserve">Hospital level: tertiary bed capacity: </w:t>
            </w:r>
            <w:r>
              <w:rPr>
                <w:color w:val="000000"/>
                <w:sz w:val="28"/>
                <w:szCs w:val="28"/>
                <w:lang w:val="en-US"/>
              </w:rPr>
              <w:t xml:space="preserve">over 100 </w:t>
            </w:r>
            <w:r>
              <w:rPr>
                <w:color w:val="000000"/>
                <w:sz w:val="28"/>
                <w:szCs w:val="28"/>
                <w:lang w:val="en-GB"/>
              </w:rPr>
              <w:t>Beds</w:t>
            </w:r>
          </w:p>
        </w:tc>
      </w:tr>
      <w:tr>
        <w:tblPrEx/>
        <w:trPr>
          <w:trHeight w:val="341" w:hRule="atLeast"/>
        </w:trPr>
        <w:tc>
          <w:tcPr>
            <w:tcW w:w="4571" w:type="dxa"/>
            <w:tcBorders/>
          </w:tcPr>
          <w:p>
            <w:pPr>
              <w:pStyle w:val="style0"/>
              <w:spacing w:after="153" w:lineRule="auto" w:line="265"/>
              <w:ind w:right="107"/>
              <w:jc w:val="both"/>
              <w:rPr>
                <w:color w:val="000000"/>
                <w:sz w:val="28"/>
                <w:szCs w:val="28"/>
                <w:lang w:val="en-GB"/>
              </w:rPr>
            </w:pPr>
            <w:r>
              <w:rPr>
                <w:color w:val="000000"/>
                <w:sz w:val="28"/>
                <w:szCs w:val="28"/>
                <w:lang w:val="en-GB"/>
              </w:rPr>
              <w:t>Department</w:t>
            </w:r>
          </w:p>
        </w:tc>
        <w:tc>
          <w:tcPr>
            <w:tcW w:w="4571" w:type="dxa"/>
            <w:tcBorders/>
          </w:tcPr>
          <w:p>
            <w:pPr>
              <w:pStyle w:val="style0"/>
              <w:spacing w:after="153" w:lineRule="auto" w:line="265"/>
              <w:ind w:right="107"/>
              <w:jc w:val="both"/>
              <w:rPr>
                <w:color w:val="000000"/>
                <w:sz w:val="28"/>
                <w:szCs w:val="28"/>
                <w:lang w:val="en-GB"/>
              </w:rPr>
            </w:pPr>
            <w:r>
              <w:rPr>
                <w:color w:val="000000"/>
                <w:sz w:val="28"/>
                <w:szCs w:val="28"/>
                <w:lang w:val="en-GB"/>
              </w:rPr>
              <w:t>Recovery room (PACU)/HDU</w:t>
            </w:r>
          </w:p>
        </w:tc>
      </w:tr>
      <w:tr>
        <w:tblPrEx/>
        <w:trPr>
          <w:trHeight w:val="351" w:hRule="atLeast"/>
        </w:trPr>
        <w:tc>
          <w:tcPr>
            <w:tcW w:w="4571" w:type="dxa"/>
            <w:tcBorders/>
          </w:tcPr>
          <w:p>
            <w:pPr>
              <w:pStyle w:val="style0"/>
              <w:spacing w:after="153" w:lineRule="auto" w:line="265"/>
              <w:ind w:right="107"/>
              <w:jc w:val="both"/>
              <w:rPr>
                <w:color w:val="000000"/>
                <w:sz w:val="28"/>
                <w:szCs w:val="28"/>
                <w:lang w:val="en-GB"/>
              </w:rPr>
            </w:pPr>
            <w:r>
              <w:rPr>
                <w:color w:val="000000"/>
                <w:sz w:val="28"/>
                <w:szCs w:val="28"/>
                <w:lang w:val="en-GB"/>
              </w:rPr>
              <w:t>Patients census per day</w:t>
            </w:r>
          </w:p>
        </w:tc>
        <w:tc>
          <w:tcPr>
            <w:tcW w:w="4571" w:type="dxa"/>
            <w:tcBorders/>
          </w:tcPr>
          <w:p>
            <w:pPr>
              <w:pStyle w:val="style0"/>
              <w:spacing w:after="153" w:lineRule="auto" w:line="265"/>
              <w:ind w:right="107"/>
              <w:jc w:val="both"/>
              <w:rPr>
                <w:color w:val="000000"/>
                <w:sz w:val="28"/>
                <w:szCs w:val="28"/>
                <w:lang w:val="en-GB"/>
              </w:rPr>
            </w:pPr>
            <w:r>
              <w:rPr>
                <w:color w:val="000000"/>
                <w:sz w:val="28"/>
                <w:szCs w:val="28"/>
                <w:lang w:val="en-GB"/>
              </w:rPr>
              <w:t xml:space="preserve">Minimum of </w:t>
            </w:r>
            <w:r>
              <w:rPr>
                <w:color w:val="000000"/>
                <w:sz w:val="28"/>
                <w:szCs w:val="28"/>
                <w:lang w:val="en-US"/>
              </w:rPr>
              <w:t>8</w:t>
            </w:r>
            <w:r>
              <w:rPr>
                <w:color w:val="000000"/>
                <w:sz w:val="28"/>
                <w:szCs w:val="28"/>
                <w:lang w:val="en-GB"/>
              </w:rPr>
              <w:t xml:space="preserve"> patients</w:t>
            </w:r>
          </w:p>
        </w:tc>
      </w:tr>
      <w:tr>
        <w:tblPrEx/>
        <w:trPr>
          <w:trHeight w:val="205" w:hRule="atLeast"/>
        </w:trPr>
        <w:tc>
          <w:tcPr>
            <w:tcW w:w="4571" w:type="dxa"/>
            <w:tcBorders/>
          </w:tcPr>
          <w:p>
            <w:pPr>
              <w:pStyle w:val="style0"/>
              <w:spacing w:after="153" w:lineRule="auto" w:line="265"/>
              <w:ind w:right="107"/>
              <w:jc w:val="both"/>
              <w:rPr>
                <w:color w:val="000000"/>
                <w:sz w:val="28"/>
                <w:szCs w:val="28"/>
                <w:lang w:val="en-GB"/>
              </w:rPr>
            </w:pPr>
            <w:r>
              <w:rPr>
                <w:color w:val="000000"/>
                <w:sz w:val="28"/>
                <w:szCs w:val="28"/>
                <w:lang w:val="en-GB"/>
              </w:rPr>
              <w:t>Types of patients handled</w:t>
            </w:r>
          </w:p>
        </w:tc>
        <w:tc>
          <w:tcPr>
            <w:tcW w:w="4571" w:type="dxa"/>
            <w:tcBorders/>
          </w:tcPr>
          <w:p>
            <w:pPr>
              <w:pStyle w:val="style0"/>
              <w:spacing w:after="153" w:lineRule="auto" w:line="265"/>
              <w:ind w:right="107"/>
              <w:jc w:val="both"/>
              <w:rPr>
                <w:color w:val="000000"/>
                <w:sz w:val="28"/>
                <w:szCs w:val="28"/>
                <w:lang w:val="en-GB"/>
              </w:rPr>
            </w:pPr>
            <w:r>
              <w:rPr>
                <w:color w:val="000000"/>
                <w:sz w:val="28"/>
                <w:szCs w:val="28"/>
                <w:lang w:val="en-GB"/>
              </w:rPr>
              <w:t>Pre-operative, post-operative and high dependency patients</w:t>
            </w:r>
          </w:p>
        </w:tc>
      </w:tr>
    </w:tbl>
    <w:p>
      <w:pPr>
        <w:pStyle w:val="style0"/>
        <w:spacing w:after="153" w:lineRule="auto" w:line="265"/>
        <w:ind w:left="370" w:right="107"/>
        <w:jc w:val="both"/>
        <w:rPr>
          <w:color w:val="000000"/>
          <w:sz w:val="28"/>
          <w:szCs w:val="28"/>
          <w:lang w:val="en-GB"/>
        </w:rPr>
      </w:pPr>
    </w:p>
    <w:p>
      <w:pPr>
        <w:pStyle w:val="style0"/>
        <w:spacing w:after="153" w:lineRule="auto" w:line="265"/>
        <w:ind w:left="370" w:right="107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 xml:space="preserve">DUTIES AND RESPONSIBILITIES </w:t>
      </w:r>
    </w:p>
    <w:p>
      <w:pPr>
        <w:pStyle w:val="style179"/>
        <w:numPr>
          <w:ilvl w:val="0"/>
          <w:numId w:val="14"/>
        </w:numPr>
        <w:spacing w:after="153" w:lineRule="auto" w:line="265"/>
        <w:ind w:right="107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>Admit and prepare patients for surgery ensuring wrist bands and documentation are accurate and complete.</w:t>
      </w:r>
    </w:p>
    <w:p>
      <w:pPr>
        <w:pStyle w:val="style179"/>
        <w:numPr>
          <w:ilvl w:val="0"/>
          <w:numId w:val="14"/>
        </w:numPr>
        <w:spacing w:after="153" w:lineRule="auto" w:line="265"/>
        <w:ind w:right="107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>Ensure proper communication to patients and family members regarding surgical procedures and cross-checked signed consent forms</w:t>
      </w:r>
    </w:p>
    <w:p>
      <w:pPr>
        <w:pStyle w:val="style179"/>
        <w:numPr>
          <w:ilvl w:val="0"/>
          <w:numId w:val="14"/>
        </w:numPr>
        <w:spacing w:after="153" w:lineRule="auto" w:line="265"/>
        <w:ind w:right="107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 xml:space="preserve"> Provide ongoing information to the patient and their caregiver to ensure that they understand and feel as comfortable as possible. </w:t>
      </w:r>
    </w:p>
    <w:p>
      <w:pPr>
        <w:pStyle w:val="style179"/>
        <w:numPr>
          <w:ilvl w:val="0"/>
          <w:numId w:val="14"/>
        </w:numPr>
        <w:spacing w:after="153" w:lineRule="auto" w:line="265"/>
        <w:ind w:right="107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 xml:space="preserve">Assess patient’s emotional wellbeing pre and post-operatively to provide compassionate support services as needed. </w:t>
      </w:r>
    </w:p>
    <w:p>
      <w:pPr>
        <w:pStyle w:val="style179"/>
        <w:numPr>
          <w:ilvl w:val="0"/>
          <w:numId w:val="14"/>
        </w:numPr>
        <w:spacing w:after="153" w:lineRule="auto" w:line="265"/>
        <w:ind w:right="107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 xml:space="preserve">Assess and evaluate the patient and monitor patient continuously during the recovery phase. Document the status of the patient and administer care accordingly. </w:t>
      </w:r>
    </w:p>
    <w:p>
      <w:pPr>
        <w:pStyle w:val="style179"/>
        <w:numPr>
          <w:ilvl w:val="0"/>
          <w:numId w:val="14"/>
        </w:numPr>
        <w:spacing w:after="153" w:lineRule="auto" w:line="265"/>
        <w:ind w:right="107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 xml:space="preserve"> Monitor patient’s surgical site(s), clean and redress wounds as necessary</w:t>
      </w:r>
    </w:p>
    <w:p>
      <w:pPr>
        <w:pStyle w:val="style179"/>
        <w:numPr>
          <w:ilvl w:val="0"/>
          <w:numId w:val="14"/>
        </w:numPr>
        <w:spacing w:after="153" w:lineRule="auto" w:line="265"/>
        <w:ind w:right="107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 xml:space="preserve"> </w:t>
      </w:r>
      <w:r>
        <w:rPr>
          <w:color w:val="000000"/>
          <w:sz w:val="28"/>
          <w:szCs w:val="28"/>
          <w:lang w:val="en-GB"/>
        </w:rPr>
        <w:t xml:space="preserve">Assess levels of consciousness and carefully observe patients for any side effects from </w:t>
      </w:r>
      <w:r>
        <w:rPr>
          <w:color w:val="000000"/>
          <w:sz w:val="28"/>
          <w:szCs w:val="28"/>
          <w:lang w:val="en-GB"/>
        </w:rPr>
        <w:t>anesthesia</w:t>
      </w:r>
      <w:r>
        <w:rPr>
          <w:color w:val="000000"/>
          <w:sz w:val="28"/>
          <w:szCs w:val="28"/>
          <w:lang w:val="en-GB"/>
        </w:rPr>
        <w:t xml:space="preserve"> such as nausea and vomiting. </w:t>
      </w:r>
    </w:p>
    <w:p>
      <w:pPr>
        <w:pStyle w:val="style179"/>
        <w:numPr>
          <w:ilvl w:val="0"/>
          <w:numId w:val="14"/>
        </w:numPr>
        <w:spacing w:after="153" w:lineRule="auto" w:line="265"/>
        <w:ind w:right="107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>Manage peripheral intravenous cannula, central line and epidural catheter for administration of anaesthetics and other medications</w:t>
      </w:r>
      <w:r>
        <w:rPr>
          <w:color w:val="000000"/>
          <w:sz w:val="28"/>
          <w:szCs w:val="28"/>
          <w:lang w:val="en-GB"/>
        </w:rPr>
        <w:t xml:space="preserve"> ordered by attending doctor </w:t>
      </w:r>
      <w:r>
        <w:rPr>
          <w:color w:val="000000"/>
          <w:sz w:val="28"/>
          <w:szCs w:val="28"/>
          <w:lang w:val="en-GB"/>
        </w:rPr>
        <w:t xml:space="preserve">or surgeon </w:t>
      </w:r>
    </w:p>
    <w:p>
      <w:pPr>
        <w:pStyle w:val="style179"/>
        <w:numPr>
          <w:ilvl w:val="0"/>
          <w:numId w:val="14"/>
        </w:numPr>
        <w:spacing w:after="153" w:lineRule="auto" w:line="265"/>
        <w:ind w:right="107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 xml:space="preserve">Determine patient’s readiness for discharge to home, rehabilitation centre or inpatient wards. </w:t>
      </w:r>
    </w:p>
    <w:p>
      <w:pPr>
        <w:pStyle w:val="style179"/>
        <w:numPr>
          <w:ilvl w:val="0"/>
          <w:numId w:val="14"/>
        </w:numPr>
        <w:spacing w:after="153" w:lineRule="auto" w:line="265"/>
        <w:ind w:right="107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 xml:space="preserve">Communicate discharge instructions verbally and in writing, ensuring </w:t>
      </w:r>
      <w:r>
        <w:rPr>
          <w:color w:val="000000"/>
          <w:sz w:val="28"/>
          <w:szCs w:val="28"/>
          <w:lang w:val="en-GB"/>
        </w:rPr>
        <w:t>patient’s</w:t>
      </w:r>
      <w:r>
        <w:rPr>
          <w:color w:val="000000"/>
          <w:sz w:val="28"/>
          <w:szCs w:val="28"/>
          <w:lang w:val="en-GB"/>
        </w:rPr>
        <w:t xml:space="preserve"> and/or caretaker’s understanding of post-op care. </w:t>
      </w:r>
    </w:p>
    <w:p>
      <w:pPr>
        <w:pStyle w:val="style0"/>
        <w:spacing w:after="153" w:lineRule="auto" w:line="265"/>
        <w:ind w:left="370" w:right="107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 xml:space="preserve"> </w:t>
      </w:r>
      <w:r>
        <w:rPr>
          <w:color w:val="000000"/>
          <w:sz w:val="28"/>
          <w:szCs w:val="28"/>
          <w:lang w:val="en-GB"/>
        </w:rPr>
        <w:t xml:space="preserve">Cases Handled:  Recovery room (PACU) 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 xml:space="preserve">NEUROSURGERY- Craniotomy, </w:t>
      </w:r>
      <w:r>
        <w:rPr>
          <w:color w:val="000000"/>
          <w:lang w:val="en-GB"/>
        </w:rPr>
        <w:t>craniectomy</w:t>
      </w:r>
      <w:r>
        <w:rPr>
          <w:color w:val="000000"/>
          <w:lang w:val="en-GB"/>
        </w:rPr>
        <w:t>, lumbar/cervical decompressions, steroid injections, platelet-rich plasma injection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 xml:space="preserve"> ORTHOPAEDICS: Hip/knee replacements, ACL reconstruction, arthroscopy, corrective osteotomies, CRIF/ORIF, intramedullary nailing, external fixation, </w:t>
      </w:r>
      <w:r>
        <w:rPr>
          <w:color w:val="000000"/>
          <w:lang w:val="en-GB"/>
        </w:rPr>
        <w:t>Ilizarov</w:t>
      </w:r>
      <w:r>
        <w:rPr>
          <w:color w:val="000000"/>
          <w:lang w:val="en-GB"/>
        </w:rPr>
        <w:t xml:space="preserve"> application/adjustment, amputation/stump refashioning 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 xml:space="preserve"> GENERAL SURGERIES: Appendectomy, mastectomy, biopsies, haemorrhoidectomy, endoscopy, </w:t>
      </w:r>
      <w:r>
        <w:rPr>
          <w:color w:val="000000"/>
          <w:lang w:val="en-GB"/>
        </w:rPr>
        <w:t>herniorrhaphy</w:t>
      </w:r>
      <w:r>
        <w:rPr>
          <w:color w:val="000000"/>
          <w:lang w:val="en-GB"/>
        </w:rPr>
        <w:t xml:space="preserve">, laparotomy 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 xml:space="preserve"> UROLOGY: Prostate biopsy, </w:t>
      </w:r>
      <w:r>
        <w:rPr>
          <w:color w:val="000000"/>
          <w:lang w:val="en-GB"/>
        </w:rPr>
        <w:t>suprapubic</w:t>
      </w:r>
      <w:r>
        <w:rPr>
          <w:color w:val="000000"/>
          <w:lang w:val="en-GB"/>
        </w:rPr>
        <w:t xml:space="preserve"> </w:t>
      </w:r>
      <w:r>
        <w:rPr>
          <w:color w:val="000000"/>
          <w:lang w:val="en-GB"/>
        </w:rPr>
        <w:t>cystostomy</w:t>
      </w:r>
      <w:r>
        <w:rPr>
          <w:color w:val="000000"/>
          <w:lang w:val="en-GB"/>
        </w:rPr>
        <w:t xml:space="preserve"> 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 xml:space="preserve"> ENT : Adenoidectomy and tonsillectomy, thyroidectomy, neck biopsies, tracheostomy 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 xml:space="preserve"> OBSTETRIC AND GYNAECOLOGY: Caesarean section, hysterectomy, myomectomy, ovarian cystectomy, ERPC 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 xml:space="preserve"> VASCULAR SURGERY: </w:t>
      </w:r>
      <w:r>
        <w:rPr>
          <w:color w:val="000000"/>
          <w:lang w:val="en-GB"/>
        </w:rPr>
        <w:t>Fasciotomy</w:t>
      </w:r>
      <w:r>
        <w:rPr>
          <w:color w:val="000000"/>
          <w:lang w:val="en-GB"/>
        </w:rPr>
        <w:t xml:space="preserve"> 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 xml:space="preserve"> PLASTIC SURGERIES: Skin grafting, debridement </w:t>
      </w:r>
    </w:p>
    <w:p>
      <w:pPr>
        <w:pStyle w:val="style0"/>
        <w:spacing w:after="153" w:lineRule="auto" w:line="265"/>
        <w:ind w:left="370" w:right="107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 xml:space="preserve"> </w:t>
      </w:r>
    </w:p>
    <w:p>
      <w:pPr>
        <w:pStyle w:val="style0"/>
        <w:spacing w:after="153" w:lineRule="auto" w:line="265"/>
        <w:ind w:left="370" w:right="107"/>
        <w:jc w:val="both"/>
        <w:rPr>
          <w:color w:val="000000"/>
          <w:sz w:val="24"/>
          <w:szCs w:val="24"/>
          <w:lang w:val="en-GB"/>
        </w:rPr>
      </w:pPr>
      <w:r>
        <w:rPr>
          <w:color w:val="000000"/>
          <w:sz w:val="24"/>
          <w:szCs w:val="24"/>
          <w:lang w:val="en-GB"/>
        </w:rPr>
        <w:t xml:space="preserve">Highly Dependent Unit (HDU) 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>Pulmonary embolism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 xml:space="preserve">Hypertensive emergency 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 xml:space="preserve">Renal artery aneurysm  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 xml:space="preserve">Mild traumatic brain injury 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>Craniotomy and evacuation of hematoma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 xml:space="preserve">Hyperglycaemic emergency 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>Haemorrhagic stroke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>Chronic obstructive pulmonary disease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 xml:space="preserve">Congestive cardiac failure </w:t>
      </w:r>
    </w:p>
    <w:p>
      <w:pPr>
        <w:pStyle w:val="style0"/>
        <w:spacing w:after="153" w:lineRule="auto" w:line="265"/>
        <w:ind w:left="370" w:right="107"/>
        <w:jc w:val="both"/>
        <w:rPr>
          <w:color w:val="000000"/>
          <w:sz w:val="24"/>
          <w:szCs w:val="24"/>
          <w:lang w:val="en-GB"/>
        </w:rPr>
      </w:pPr>
      <w:r>
        <w:rPr>
          <w:color w:val="000000"/>
          <w:sz w:val="24"/>
          <w:szCs w:val="24"/>
          <w:lang w:val="en-GB"/>
        </w:rPr>
        <w:t xml:space="preserve"> </w:t>
      </w:r>
    </w:p>
    <w:p>
      <w:pPr>
        <w:pStyle w:val="style0"/>
        <w:spacing w:after="153" w:lineRule="auto" w:line="265"/>
        <w:ind w:left="370" w:right="107"/>
        <w:jc w:val="both"/>
        <w:rPr>
          <w:color w:val="000000"/>
          <w:sz w:val="24"/>
          <w:szCs w:val="24"/>
          <w:lang w:val="en-GB"/>
        </w:rPr>
      </w:pPr>
      <w:r>
        <w:rPr>
          <w:color w:val="000000"/>
          <w:sz w:val="24"/>
          <w:szCs w:val="24"/>
          <w:lang w:val="en-GB"/>
        </w:rPr>
        <w:t>Equipment/Machines Operated:</w:t>
      </w:r>
    </w:p>
    <w:p>
      <w:pPr>
        <w:pStyle w:val="style0"/>
        <w:spacing w:after="153" w:lineRule="auto" w:line="265"/>
        <w:ind w:left="370" w:right="107"/>
        <w:jc w:val="both"/>
        <w:rPr>
          <w:color w:val="000000"/>
          <w:sz w:val="24"/>
          <w:szCs w:val="24"/>
          <w:lang w:val="en-GB"/>
        </w:rPr>
      </w:pPr>
      <w:r>
        <w:rPr>
          <w:color w:val="000000"/>
          <w:sz w:val="24"/>
          <w:szCs w:val="24"/>
          <w:lang w:val="en-GB"/>
        </w:rPr>
        <w:t xml:space="preserve"> RECOVERY (PACU)/HDU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>Multiparameter</w:t>
      </w:r>
      <w:r>
        <w:rPr>
          <w:color w:val="000000"/>
          <w:lang w:val="en-GB"/>
        </w:rPr>
        <w:t xml:space="preserve"> monitor 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>AED machine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>DVT prevention pump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 xml:space="preserve">Glucometer 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 xml:space="preserve">ECG machine 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>Infusion/syringe pump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 xml:space="preserve">Suction machine </w:t>
      </w:r>
    </w:p>
    <w:p>
      <w:pPr>
        <w:pStyle w:val="style179"/>
        <w:numPr>
          <w:ilvl w:val="0"/>
          <w:numId w:val="15"/>
        </w:numPr>
        <w:spacing w:after="153" w:lineRule="auto" w:line="265"/>
        <w:ind w:right="107"/>
        <w:jc w:val="both"/>
        <w:rPr>
          <w:color w:val="000000"/>
          <w:lang w:val="en-GB"/>
        </w:rPr>
      </w:pPr>
      <w:r>
        <w:rPr>
          <w:color w:val="000000"/>
          <w:lang w:val="en-GB"/>
        </w:rPr>
        <w:t>Negative pressure wound therapy unit</w:t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EDUCATION 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Ladoke </w:t>
      </w:r>
      <w:r>
        <w:rPr>
          <w:sz w:val="24"/>
          <w:szCs w:val="24"/>
        </w:rPr>
        <w:t>Akintola University of technology Ogbomosho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              </w:t>
      </w:r>
      <w:r>
        <w:rPr>
          <w:sz w:val="24"/>
          <w:szCs w:val="24"/>
        </w:rPr>
        <w:t xml:space="preserve">BSc Nursing      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Niger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state college of nursing sciences</w:t>
      </w:r>
      <w:r>
        <w:rPr>
          <w:sz w:val="24"/>
          <w:szCs w:val="24"/>
          <w:lang w:val="en-US"/>
        </w:rPr>
        <w:t>, Bida.</w:t>
      </w:r>
      <w:r>
        <w:rPr>
          <w:sz w:val="24"/>
          <w:szCs w:val="24"/>
        </w:rPr>
        <w:t xml:space="preserve">                                </w:t>
      </w:r>
      <w:r>
        <w:rPr>
          <w:sz w:val="24"/>
          <w:szCs w:val="24"/>
          <w:lang w:val="en-US"/>
        </w:rPr>
        <w:t>Registered Nurse.</w:t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Nigerstate </w:t>
      </w:r>
      <w:r>
        <w:rPr>
          <w:sz w:val="24"/>
          <w:szCs w:val="24"/>
        </w:rPr>
        <w:t xml:space="preserve">School </w:t>
      </w:r>
      <w:r>
        <w:rPr>
          <w:sz w:val="24"/>
          <w:szCs w:val="24"/>
        </w:rPr>
        <w:t>of midwifery, M</w:t>
      </w:r>
      <w:r>
        <w:rPr>
          <w:sz w:val="24"/>
          <w:szCs w:val="24"/>
        </w:rPr>
        <w:t>inna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                              </w:t>
      </w:r>
      <w:r>
        <w:rPr>
          <w:sz w:val="24"/>
          <w:szCs w:val="24"/>
          <w:lang w:val="en-US"/>
        </w:rPr>
        <w:t xml:space="preserve">Registered </w:t>
      </w:r>
      <w:r>
        <w:rPr>
          <w:sz w:val="24"/>
          <w:szCs w:val="24"/>
        </w:rPr>
        <w:t>midwif</w:t>
      </w:r>
      <w:r>
        <w:rPr>
          <w:sz w:val="24"/>
          <w:szCs w:val="24"/>
          <w:lang w:val="en-US"/>
        </w:rPr>
        <w:t>e.</w:t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GCSEs (Including Mathematics and English)   </w:t>
      </w:r>
    </w:p>
    <w:bookmarkStart w:id="1" w:name="_GoBack"/>
    <w:bookmarkEnd w:id="1"/>
    <w:p>
      <w:pPr>
        <w:pStyle w:val="style0"/>
        <w:rPr>
          <w:sz w:val="24"/>
          <w:szCs w:val="24"/>
        </w:rPr>
      </w:pPr>
    </w:p>
    <w:sectPr>
      <w:footerReference w:type="default" r:id="rId6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2EFF" w:usb1="C0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Segoe UI">
    <w:altName w:val="Segoe UI"/>
    <w:panose1 w:val="020b0502040000020203"/>
    <w:charset w:val="00"/>
    <w:family w:val="swiss"/>
    <w:pitch w:val="variable"/>
    <w:sig w:usb0="E4002EFF" w:usb1="C000E47F" w:usb2="00000009" w:usb3="00000000" w:csb0="000001FF" w:csb1="00000000"/>
  </w:font>
  <w:font w:name="GungsuhChe">
    <w:altName w:val="GungsuhChe"/>
    <w:panose1 w:val="00000000000000000000"/>
    <w:charset w:val="81"/>
    <w:family w:val="modern"/>
    <w:pitch w:val="fixed"/>
    <w:sig w:usb0="B00002AF" w:usb1="69D77CFB" w:usb2="00000030" w:usb3="00000000" w:csb0="0008009F" w:csb1="00000000"/>
  </w:font>
  <w:font w:name="Calibri Light">
    <w:altName w:val="Calibri Light"/>
    <w:panose1 w:val="020f0302020000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4</w:t>
    </w:r>
    <w:r>
      <w:rPr>
        <w:noProof/>
      </w:rPr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2FC9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FF6EE52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nsid w:val="00000002"/>
    <w:multiLevelType w:val="hybridMultilevel"/>
    <w:tmpl w:val="7D9EA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11680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31A85848"/>
    <w:lvl w:ilvl="0" w:tplc="04090001">
      <w:start w:val="1"/>
      <w:numFmt w:val="bullet"/>
      <w:lvlText w:val=""/>
      <w:lvlJc w:val="left"/>
      <w:pPr>
        <w:ind w:left="10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1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435C749A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2BD62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98A43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5410767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ECFAF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47420394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1">
    <w:nsid w:val="0000000B"/>
    <w:multiLevelType w:val="multilevel"/>
    <w:tmpl w:val="45DEE240"/>
    <w:lvl w:ilvl="0">
      <w:start w:val="1"/>
      <w:numFmt w:val="bullet"/>
      <w:lvlText w:val="●"/>
      <w:lvlJc w:val="left"/>
      <w:pPr>
        <w:ind w:left="13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cs="Noto Sans Symbols" w:eastAsia="Noto Sans Symbols" w:hAnsi="Noto Sans Symbols"/>
      </w:rPr>
    </w:lvl>
  </w:abstractNum>
  <w:abstractNum w:abstractNumId="12">
    <w:nsid w:val="0000000C"/>
    <w:multiLevelType w:val="hybridMultilevel"/>
    <w:tmpl w:val="2EE698FC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18F6F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CFE8A8F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">
    <w:nsid w:val="0000000F"/>
    <w:multiLevelType w:val="multilevel"/>
    <w:tmpl w:val="FA70627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">
    <w:nsid w:val="00000010"/>
    <w:multiLevelType w:val="hybridMultilevel"/>
    <w:tmpl w:val="10F601B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15"/>
  </w:num>
  <w:num w:numId="4">
    <w:abstractNumId w:val="11"/>
  </w:num>
  <w:num w:numId="5">
    <w:abstractNumId w:val="2"/>
  </w:num>
  <w:num w:numId="6">
    <w:abstractNumId w:val="12"/>
  </w:num>
  <w:num w:numId="7">
    <w:abstractNumId w:val="0"/>
  </w:num>
  <w:num w:numId="8">
    <w:abstractNumId w:val="7"/>
  </w:num>
  <w:num w:numId="9">
    <w:abstractNumId w:val="10"/>
  </w:num>
  <w:num w:numId="10">
    <w:abstractNumId w:val="6"/>
  </w:num>
  <w:num w:numId="11">
    <w:abstractNumId w:val="13"/>
  </w:num>
  <w:num w:numId="12">
    <w:abstractNumId w:val="3"/>
  </w:num>
  <w:num w:numId="13">
    <w:abstractNumId w:val="9"/>
  </w:num>
  <w:num w:numId="14">
    <w:abstractNumId w:val="16"/>
  </w:num>
  <w:num w:numId="15">
    <w:abstractNumId w:val="14"/>
  </w:num>
  <w:num w:numId="16">
    <w:abstractNumId w:val="4"/>
  </w:num>
  <w:num w:numId="17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GB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0" w:lineRule="auto" w:line="276"/>
    </w:pPr>
    <w:rPr>
      <w:rFonts w:ascii="Arial" w:cs="Arial" w:eastAsia="Arial" w:hAnsi="Arial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a4e10df2-8393-4840-8ab3-1affdd486aba"/>
    <w:basedOn w:val="style65"/>
    <w:next w:val="style4097"/>
    <w:link w:val="style1"/>
    <w:uiPriority w:val="9"/>
    <w:rPr>
      <w:rFonts w:ascii="Arial" w:cs="Arial" w:eastAsia="Arial" w:hAnsi="Arial"/>
      <w:sz w:val="40"/>
      <w:szCs w:val="40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paragraph" w:styleId="style179">
    <w:name w:val="List Paragraph"/>
    <w:basedOn w:val="style0"/>
    <w:next w:val="style179"/>
    <w:qFormat/>
    <w:uiPriority w:val="1"/>
    <w:pPr>
      <w:spacing w:lineRule="auto" w:line="240"/>
      <w:ind w:left="720"/>
      <w:contextualSpacing/>
    </w:pPr>
    <w:rPr>
      <w:rFonts w:ascii="Times New Roman" w:cs="Times New Roman" w:eastAsia="Times New Roman" w:hAnsi="Times New Roman"/>
      <w:sz w:val="24"/>
      <w:szCs w:val="24"/>
      <w:lang w:val="en-US" w:eastAsia="en-GB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  <w:spacing w:lineRule="auto" w:line="240"/>
    </w:pPr>
    <w:rPr>
      <w:rFonts w:ascii="Calibri" w:cs="SimSun" w:eastAsia="Calibri" w:hAnsi="Calibri"/>
      <w:lang w:val="en-US"/>
    </w:rPr>
  </w:style>
  <w:style w:type="character" w:customStyle="1" w:styleId="style4098">
    <w:name w:val="Header Char_04813e69-32e0-40cc-bcd3-52399571bd8a"/>
    <w:basedOn w:val="style65"/>
    <w:next w:val="style4098"/>
    <w:link w:val="style31"/>
    <w:uiPriority w:val="99"/>
    <w:rPr>
      <w:rFonts w:ascii="Calibri" w:cs="SimSun" w:eastAsia="Calibri" w:hAnsi="Calibri"/>
      <w:lang w:val="en-US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513"/>
        <w:tab w:val="right" w:leader="none" w:pos="9026"/>
      </w:tabs>
      <w:spacing w:lineRule="auto" w:line="240"/>
    </w:pPr>
    <w:rPr/>
  </w:style>
  <w:style w:type="character" w:customStyle="1" w:styleId="style4100">
    <w:name w:val="Footer Char_ae977fe0-6ad3-4bf6-a56f-9771681efc4b"/>
    <w:basedOn w:val="style65"/>
    <w:next w:val="style4100"/>
    <w:link w:val="style32"/>
    <w:uiPriority w:val="99"/>
    <w:rPr>
      <w:rFonts w:ascii="Arial" w:cs="Arial" w:eastAsia="Arial" w:hAnsi="Arial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3">
    <w:name w:val="Balloon Text"/>
    <w:basedOn w:val="style0"/>
    <w:next w:val="style153"/>
    <w:link w:val="style4101"/>
    <w:uiPriority w:val="99"/>
    <w:pPr>
      <w:spacing w:lineRule="auto" w:line="240"/>
    </w:pPr>
    <w:rPr>
      <w:rFonts w:ascii="Segoe UI" w:cs="Segoe UI" w:hAnsi="Segoe UI"/>
      <w:sz w:val="18"/>
      <w:szCs w:val="18"/>
    </w:rPr>
  </w:style>
  <w:style w:type="character" w:customStyle="1" w:styleId="style4101">
    <w:name w:val="Balloon Text Char"/>
    <w:basedOn w:val="style65"/>
    <w:next w:val="style4101"/>
    <w:link w:val="style153"/>
    <w:uiPriority w:val="99"/>
    <w:rPr>
      <w:rFonts w:ascii="Segoe UI" w:cs="Segoe UI" w:eastAsia="Arial" w:hAnsi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Words>505</Words>
  <Pages>4</Pages>
  <Characters>3612</Characters>
  <Application>WPS Office</Application>
  <DocSecurity>0</DocSecurity>
  <Paragraphs>105</Paragraphs>
  <ScaleCrop>false</ScaleCrop>
  <LinksUpToDate>false</LinksUpToDate>
  <CharactersWithSpaces>4181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2023-02-11T15:44:00Z</dcterms:created>
  <dc:creator>pcuser</dc:creator>
  <lastModifiedBy>SM-A217F</lastModifiedBy>
  <dcterms:modified xsi:type="dcterms:W3CDTF">2023-06-14T10:38:25Z</dcterms:modified>
  <revision>13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952d7750-a982-4a8f-989a-ecdfe9eba817</vt:lpwstr>
  </property>
  <property fmtid="{D5CDD505-2E9C-101B-9397-08002B2CF9AE}" pid="3" name="ICV">
    <vt:lpwstr>2b05551df070488f8f05fb92dba059ea</vt:lpwstr>
  </property>
</Properties>
</file>