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1B32C" w14:textId="77777777" w:rsidR="002C4A10" w:rsidRDefault="002C4A10" w:rsidP="002C4A10">
      <w:pPr>
        <w:jc w:val="center"/>
        <w:rPr>
          <w:rFonts w:ascii="Times New Roman" w:hAnsi="Times New Roman"/>
        </w:rPr>
      </w:pPr>
      <w:r w:rsidRPr="002C4A10">
        <w:rPr>
          <w:rFonts w:ascii="Times New Roman" w:hAnsi="Times New Roman"/>
        </w:rPr>
        <w:t xml:space="preserve">Ilastik Image Segmentation and Labeling </w:t>
      </w:r>
    </w:p>
    <w:p w14:paraId="79836244" w14:textId="77777777" w:rsidR="002C4A10" w:rsidRDefault="002C4A10" w:rsidP="002C4A10">
      <w:pPr>
        <w:jc w:val="center"/>
        <w:rPr>
          <w:rFonts w:ascii="Times New Roman" w:hAnsi="Times New Roman"/>
        </w:rPr>
      </w:pPr>
    </w:p>
    <w:p w14:paraId="405DCF40" w14:textId="77777777" w:rsidR="002C4A10" w:rsidRDefault="002C4A10" w:rsidP="002C4A10">
      <w:pPr>
        <w:rPr>
          <w:rFonts w:ascii="Times New Roman" w:hAnsi="Times New Roman"/>
          <w:b/>
        </w:rPr>
      </w:pPr>
      <w:r w:rsidRPr="002C4A10">
        <w:rPr>
          <w:rFonts w:ascii="Times New Roman" w:hAnsi="Times New Roman"/>
          <w:b/>
        </w:rPr>
        <w:t>Procedure:</w:t>
      </w:r>
    </w:p>
    <w:p w14:paraId="69E4B086" w14:textId="77777777" w:rsidR="002C4A10" w:rsidRPr="002C4A10" w:rsidRDefault="002C4A10" w:rsidP="002C4A10">
      <w:pPr>
        <w:pStyle w:val="ListParagraph"/>
        <w:numPr>
          <w:ilvl w:val="0"/>
          <w:numId w:val="1"/>
        </w:numPr>
        <w:rPr>
          <w:rFonts w:ascii="Times New Roman" w:hAnsi="Times New Roman"/>
        </w:rPr>
      </w:pPr>
      <w:r w:rsidRPr="002C4A10">
        <w:rPr>
          <w:rFonts w:ascii="Times New Roman" w:hAnsi="Times New Roman"/>
        </w:rPr>
        <w:t>Set up new pixel project</w:t>
      </w:r>
    </w:p>
    <w:p w14:paraId="05550290" w14:textId="77777777" w:rsidR="002C4A10" w:rsidRDefault="002C4A10" w:rsidP="002C4A10">
      <w:pPr>
        <w:pStyle w:val="ListParagraph"/>
        <w:numPr>
          <w:ilvl w:val="0"/>
          <w:numId w:val="1"/>
        </w:numPr>
        <w:rPr>
          <w:rFonts w:ascii="Times New Roman" w:hAnsi="Times New Roman"/>
        </w:rPr>
      </w:pPr>
      <w:r>
        <w:rPr>
          <w:rFonts w:ascii="Times New Roman" w:hAnsi="Times New Roman"/>
        </w:rPr>
        <w:t>‘Feature Selection’ – select all of the circles that are equal or larger than the particles to be labeled in the image</w:t>
      </w:r>
    </w:p>
    <w:p w14:paraId="295007C9" w14:textId="77777777" w:rsidR="002C4A10" w:rsidRDefault="002C4A10" w:rsidP="002C4A10">
      <w:pPr>
        <w:pStyle w:val="ListParagraph"/>
        <w:numPr>
          <w:ilvl w:val="0"/>
          <w:numId w:val="1"/>
        </w:numPr>
        <w:rPr>
          <w:rFonts w:ascii="Times New Roman" w:hAnsi="Times New Roman"/>
        </w:rPr>
      </w:pPr>
      <w:r>
        <w:rPr>
          <w:rFonts w:ascii="Times New Roman" w:hAnsi="Times New Roman"/>
        </w:rPr>
        <w:t>‘Training’ – identify particles and the background using labels</w:t>
      </w:r>
    </w:p>
    <w:p w14:paraId="7E4769B5" w14:textId="77777777" w:rsidR="002C4A10" w:rsidRDefault="002C4A10" w:rsidP="002C4A10">
      <w:pPr>
        <w:pStyle w:val="ListParagraph"/>
        <w:numPr>
          <w:ilvl w:val="0"/>
          <w:numId w:val="1"/>
        </w:numPr>
        <w:rPr>
          <w:rFonts w:ascii="Times New Roman" w:hAnsi="Times New Roman"/>
        </w:rPr>
      </w:pPr>
      <w:r>
        <w:rPr>
          <w:rFonts w:ascii="Times New Roman" w:hAnsi="Times New Roman"/>
        </w:rPr>
        <w:t>Reduce uncertainty by labeling several different locations on the particles and the background.</w:t>
      </w:r>
    </w:p>
    <w:p w14:paraId="14AF2DBB" w14:textId="77777777" w:rsidR="002C4A10" w:rsidRDefault="002C4A10" w:rsidP="002C4A10">
      <w:pPr>
        <w:pStyle w:val="ListParagraph"/>
        <w:numPr>
          <w:ilvl w:val="0"/>
          <w:numId w:val="1"/>
        </w:numPr>
        <w:rPr>
          <w:rFonts w:ascii="Times New Roman" w:hAnsi="Times New Roman"/>
        </w:rPr>
      </w:pPr>
      <w:r>
        <w:rPr>
          <w:rFonts w:ascii="Times New Roman" w:hAnsi="Times New Roman"/>
        </w:rPr>
        <w:t xml:space="preserve">‘Object Feature Selection’- select the criteria used to predict the particle type (I used either ‘Count and </w:t>
      </w:r>
      <w:proofErr w:type="spellStart"/>
      <w:r>
        <w:rPr>
          <w:rFonts w:ascii="Times New Roman" w:hAnsi="Times New Roman"/>
        </w:rPr>
        <w:t>RegionRadii</w:t>
      </w:r>
      <w:proofErr w:type="spellEnd"/>
      <w:r>
        <w:rPr>
          <w:rFonts w:ascii="Times New Roman" w:hAnsi="Times New Roman"/>
        </w:rPr>
        <w:t>’ or ‘Skewness, Count, and Region Radii’)</w:t>
      </w:r>
    </w:p>
    <w:p w14:paraId="1F7A24D8" w14:textId="77777777" w:rsidR="002C4A10" w:rsidRDefault="002C4A10" w:rsidP="002C4A10">
      <w:pPr>
        <w:pStyle w:val="ListParagraph"/>
        <w:numPr>
          <w:ilvl w:val="0"/>
          <w:numId w:val="1"/>
        </w:numPr>
        <w:rPr>
          <w:rFonts w:ascii="Times New Roman" w:hAnsi="Times New Roman"/>
        </w:rPr>
      </w:pPr>
      <w:r>
        <w:rPr>
          <w:rFonts w:ascii="Times New Roman" w:hAnsi="Times New Roman"/>
        </w:rPr>
        <w:t xml:space="preserve">‘Object Classification’ – </w:t>
      </w:r>
      <w:proofErr w:type="gramStart"/>
      <w:r>
        <w:rPr>
          <w:rFonts w:ascii="Times New Roman" w:hAnsi="Times New Roman"/>
        </w:rPr>
        <w:t>make</w:t>
      </w:r>
      <w:proofErr w:type="gramEnd"/>
      <w:r>
        <w:rPr>
          <w:rFonts w:ascii="Times New Roman" w:hAnsi="Times New Roman"/>
        </w:rPr>
        <w:t xml:space="preserve"> four labels for singles, doubles, flats, and clusters, then manually label 10 of each so that Ilastik can predict the rest.</w:t>
      </w:r>
    </w:p>
    <w:p w14:paraId="2BE43801" w14:textId="77777777" w:rsidR="002C4A10" w:rsidRDefault="002C4A10" w:rsidP="002C4A10">
      <w:pPr>
        <w:rPr>
          <w:rFonts w:ascii="Times New Roman" w:hAnsi="Times New Roman"/>
          <w:b/>
        </w:rPr>
      </w:pPr>
    </w:p>
    <w:p w14:paraId="6D45476A" w14:textId="77777777" w:rsidR="0027050F" w:rsidRPr="002C4A10" w:rsidRDefault="002C4A10" w:rsidP="002C4A10">
      <w:pPr>
        <w:rPr>
          <w:rFonts w:ascii="Times New Roman" w:hAnsi="Times New Roman"/>
          <w:b/>
        </w:rPr>
      </w:pPr>
      <w:r w:rsidRPr="002C4A10">
        <w:rPr>
          <w:rFonts w:ascii="Times New Roman" w:hAnsi="Times New Roman"/>
          <w:b/>
        </w:rPr>
        <w:t>Data:</w:t>
      </w:r>
    </w:p>
    <w:p w14:paraId="15D1B189" w14:textId="77777777" w:rsidR="002C4A10" w:rsidRDefault="002C4A10" w:rsidP="002C4A10">
      <w:pPr>
        <w:rPr>
          <w:rFonts w:ascii="Times New Roman" w:hAnsi="Times New Roman"/>
        </w:rPr>
      </w:pPr>
    </w:p>
    <w:p w14:paraId="28948A58" w14:textId="77777777" w:rsidR="0027050F" w:rsidRPr="0027050F" w:rsidRDefault="0027050F" w:rsidP="0027050F">
      <w:pPr>
        <w:pStyle w:val="ListParagraph"/>
        <w:numPr>
          <w:ilvl w:val="0"/>
          <w:numId w:val="5"/>
        </w:numPr>
        <w:ind w:left="270" w:hanging="270"/>
        <w:rPr>
          <w:rFonts w:ascii="Times New Roman" w:hAnsi="Times New Roman"/>
        </w:rPr>
      </w:pPr>
      <w:r w:rsidRPr="0027050F">
        <w:rPr>
          <w:rFonts w:ascii="Times New Roman" w:hAnsi="Times New Roman"/>
        </w:rPr>
        <w:t>For each category of nanoparticle (np)</w:t>
      </w:r>
      <w:r>
        <w:rPr>
          <w:rFonts w:ascii="Times New Roman" w:hAnsi="Times New Roman"/>
        </w:rPr>
        <w:t>, 10 were manually labeled so that Ilastik could more accurately predict the unlabeled np’s.</w:t>
      </w:r>
    </w:p>
    <w:p w14:paraId="658C26EF" w14:textId="77777777" w:rsidR="0027050F" w:rsidRPr="002C4A10" w:rsidRDefault="0027050F" w:rsidP="002C4A10">
      <w:pPr>
        <w:rPr>
          <w:rFonts w:ascii="Times New Roman" w:hAnsi="Times New Roman"/>
        </w:rPr>
      </w:pPr>
    </w:p>
    <w:tbl>
      <w:tblPr>
        <w:tblW w:w="2600" w:type="dxa"/>
        <w:jc w:val="center"/>
        <w:tblInd w:w="93" w:type="dxa"/>
        <w:tblLook w:val="04A0" w:firstRow="1" w:lastRow="0" w:firstColumn="1" w:lastColumn="0" w:noHBand="0" w:noVBand="1"/>
      </w:tblPr>
      <w:tblGrid>
        <w:gridCol w:w="1300"/>
        <w:gridCol w:w="1300"/>
      </w:tblGrid>
      <w:tr w:rsidR="002C4A10" w:rsidRPr="002C4A10" w14:paraId="4D607176" w14:textId="77777777" w:rsidTr="002C4A10">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E9E47" w14:textId="77777777" w:rsidR="002C4A10" w:rsidRPr="002C4A10" w:rsidRDefault="002C4A10" w:rsidP="002C4A10">
            <w:pPr>
              <w:jc w:val="center"/>
              <w:rPr>
                <w:rFonts w:ascii="Times New Roman" w:eastAsia="Times New Roman" w:hAnsi="Times New Roman" w:cs="Times New Roman"/>
                <w:b/>
                <w:bCs/>
                <w:color w:val="000000"/>
              </w:rPr>
            </w:pPr>
            <w:r w:rsidRPr="002C4A10">
              <w:rPr>
                <w:rFonts w:ascii="Times New Roman" w:eastAsia="Times New Roman" w:hAnsi="Times New Roman" w:cs="Times New Roman"/>
                <w:b/>
                <w:bCs/>
                <w:color w:val="000000"/>
              </w:rPr>
              <w:t>Type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7CAE282" w14:textId="77777777" w:rsidR="002C4A10" w:rsidRPr="002C4A10" w:rsidRDefault="002C4A10" w:rsidP="002C4A10">
            <w:pPr>
              <w:jc w:val="center"/>
              <w:rPr>
                <w:rFonts w:ascii="Times New Roman" w:eastAsia="Times New Roman" w:hAnsi="Times New Roman" w:cs="Times New Roman"/>
                <w:b/>
                <w:bCs/>
                <w:color w:val="000000"/>
              </w:rPr>
            </w:pPr>
            <w:r w:rsidRPr="002C4A10">
              <w:rPr>
                <w:rFonts w:ascii="Times New Roman" w:eastAsia="Times New Roman" w:hAnsi="Times New Roman" w:cs="Times New Roman"/>
                <w:b/>
                <w:bCs/>
                <w:color w:val="000000"/>
              </w:rPr>
              <w:t>Labeled</w:t>
            </w:r>
          </w:p>
        </w:tc>
      </w:tr>
      <w:tr w:rsidR="002C4A10" w:rsidRPr="002C4A10" w14:paraId="7061B56B" w14:textId="77777777" w:rsidTr="002C4A10">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7EDACB7" w14:textId="77777777" w:rsidR="002C4A10" w:rsidRPr="002C4A10" w:rsidRDefault="002C4A10" w:rsidP="002C4A10">
            <w:pPr>
              <w:jc w:val="center"/>
              <w:rPr>
                <w:rFonts w:ascii="Times New Roman" w:eastAsia="Times New Roman" w:hAnsi="Times New Roman" w:cs="Times New Roman"/>
                <w:color w:val="000000"/>
              </w:rPr>
            </w:pPr>
            <w:r w:rsidRPr="002C4A10">
              <w:rPr>
                <w:rFonts w:ascii="Times New Roman" w:eastAsia="Times New Roman" w:hAnsi="Times New Roman" w:cs="Times New Roman"/>
                <w:color w:val="000000"/>
              </w:rPr>
              <w:t xml:space="preserve">Single </w:t>
            </w:r>
          </w:p>
        </w:tc>
        <w:tc>
          <w:tcPr>
            <w:tcW w:w="1300" w:type="dxa"/>
            <w:tcBorders>
              <w:top w:val="nil"/>
              <w:left w:val="nil"/>
              <w:bottom w:val="nil"/>
              <w:right w:val="single" w:sz="4" w:space="0" w:color="auto"/>
            </w:tcBorders>
            <w:shd w:val="clear" w:color="000000" w:fill="D9D9D9"/>
            <w:noWrap/>
            <w:vAlign w:val="bottom"/>
            <w:hideMark/>
          </w:tcPr>
          <w:p w14:paraId="44078AB9" w14:textId="77777777" w:rsidR="002C4A10" w:rsidRPr="002C4A10" w:rsidRDefault="002C4A10" w:rsidP="002C4A10">
            <w:pPr>
              <w:jc w:val="center"/>
              <w:rPr>
                <w:rFonts w:ascii="Times New Roman" w:eastAsia="Times New Roman" w:hAnsi="Times New Roman" w:cs="Times New Roman"/>
                <w:color w:val="000000"/>
              </w:rPr>
            </w:pPr>
            <w:r w:rsidRPr="002C4A10">
              <w:rPr>
                <w:rFonts w:ascii="Times New Roman" w:eastAsia="Times New Roman" w:hAnsi="Times New Roman" w:cs="Times New Roman"/>
                <w:color w:val="000000"/>
              </w:rPr>
              <w:t>10</w:t>
            </w:r>
          </w:p>
        </w:tc>
      </w:tr>
      <w:tr w:rsidR="002C4A10" w:rsidRPr="002C4A10" w14:paraId="36EB95CB" w14:textId="77777777" w:rsidTr="002C4A10">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F79BE62" w14:textId="77777777" w:rsidR="002C4A10" w:rsidRPr="002C4A10" w:rsidRDefault="002C4A10" w:rsidP="002C4A10">
            <w:pPr>
              <w:jc w:val="center"/>
              <w:rPr>
                <w:rFonts w:ascii="Times New Roman" w:eastAsia="Times New Roman" w:hAnsi="Times New Roman" w:cs="Times New Roman"/>
                <w:color w:val="000000"/>
              </w:rPr>
            </w:pPr>
            <w:r w:rsidRPr="002C4A10">
              <w:rPr>
                <w:rFonts w:ascii="Times New Roman" w:eastAsia="Times New Roman" w:hAnsi="Times New Roman" w:cs="Times New Roman"/>
                <w:color w:val="000000"/>
              </w:rPr>
              <w:t>Double</w:t>
            </w:r>
          </w:p>
        </w:tc>
        <w:tc>
          <w:tcPr>
            <w:tcW w:w="1300" w:type="dxa"/>
            <w:tcBorders>
              <w:top w:val="nil"/>
              <w:left w:val="nil"/>
              <w:bottom w:val="nil"/>
              <w:right w:val="single" w:sz="4" w:space="0" w:color="auto"/>
            </w:tcBorders>
            <w:shd w:val="clear" w:color="auto" w:fill="auto"/>
            <w:noWrap/>
            <w:vAlign w:val="bottom"/>
            <w:hideMark/>
          </w:tcPr>
          <w:p w14:paraId="2C89A0D3" w14:textId="77777777" w:rsidR="002C4A10" w:rsidRPr="002C4A10" w:rsidRDefault="002C4A10" w:rsidP="002C4A10">
            <w:pPr>
              <w:jc w:val="center"/>
              <w:rPr>
                <w:rFonts w:ascii="Times New Roman" w:eastAsia="Times New Roman" w:hAnsi="Times New Roman" w:cs="Times New Roman"/>
                <w:color w:val="000000"/>
              </w:rPr>
            </w:pPr>
            <w:r w:rsidRPr="002C4A10">
              <w:rPr>
                <w:rFonts w:ascii="Times New Roman" w:eastAsia="Times New Roman" w:hAnsi="Times New Roman" w:cs="Times New Roman"/>
                <w:color w:val="000000"/>
              </w:rPr>
              <w:t>10</w:t>
            </w:r>
          </w:p>
        </w:tc>
      </w:tr>
      <w:tr w:rsidR="002C4A10" w:rsidRPr="002C4A10" w14:paraId="19085EC4" w14:textId="77777777" w:rsidTr="002C4A10">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6DE701B" w14:textId="77777777" w:rsidR="002C4A10" w:rsidRPr="002C4A10" w:rsidRDefault="002C4A10" w:rsidP="002C4A10">
            <w:pPr>
              <w:jc w:val="center"/>
              <w:rPr>
                <w:rFonts w:ascii="Times New Roman" w:eastAsia="Times New Roman" w:hAnsi="Times New Roman" w:cs="Times New Roman"/>
                <w:color w:val="000000"/>
              </w:rPr>
            </w:pPr>
            <w:r w:rsidRPr="002C4A10">
              <w:rPr>
                <w:rFonts w:ascii="Times New Roman" w:eastAsia="Times New Roman" w:hAnsi="Times New Roman" w:cs="Times New Roman"/>
                <w:color w:val="000000"/>
              </w:rPr>
              <w:t>Flats</w:t>
            </w:r>
          </w:p>
        </w:tc>
        <w:tc>
          <w:tcPr>
            <w:tcW w:w="1300" w:type="dxa"/>
            <w:tcBorders>
              <w:top w:val="nil"/>
              <w:left w:val="nil"/>
              <w:bottom w:val="nil"/>
              <w:right w:val="single" w:sz="4" w:space="0" w:color="auto"/>
            </w:tcBorders>
            <w:shd w:val="clear" w:color="000000" w:fill="D9D9D9"/>
            <w:noWrap/>
            <w:vAlign w:val="bottom"/>
            <w:hideMark/>
          </w:tcPr>
          <w:p w14:paraId="1E7F69BE" w14:textId="77777777" w:rsidR="002C4A10" w:rsidRPr="002C4A10" w:rsidRDefault="002C4A10" w:rsidP="002C4A10">
            <w:pPr>
              <w:jc w:val="center"/>
              <w:rPr>
                <w:rFonts w:ascii="Times New Roman" w:eastAsia="Times New Roman" w:hAnsi="Times New Roman" w:cs="Times New Roman"/>
                <w:color w:val="000000"/>
              </w:rPr>
            </w:pPr>
            <w:r w:rsidRPr="002C4A10">
              <w:rPr>
                <w:rFonts w:ascii="Times New Roman" w:eastAsia="Times New Roman" w:hAnsi="Times New Roman" w:cs="Times New Roman"/>
                <w:color w:val="000000"/>
              </w:rPr>
              <w:t>10</w:t>
            </w:r>
          </w:p>
        </w:tc>
      </w:tr>
      <w:tr w:rsidR="002C4A10" w:rsidRPr="002C4A10" w14:paraId="47464724" w14:textId="77777777" w:rsidTr="002C4A1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283647" w14:textId="77777777" w:rsidR="002C4A10" w:rsidRPr="002C4A10" w:rsidRDefault="002C4A10" w:rsidP="002C4A10">
            <w:pPr>
              <w:jc w:val="center"/>
              <w:rPr>
                <w:rFonts w:ascii="Times New Roman" w:eastAsia="Times New Roman" w:hAnsi="Times New Roman" w:cs="Times New Roman"/>
                <w:color w:val="000000"/>
              </w:rPr>
            </w:pPr>
            <w:r w:rsidRPr="002C4A10">
              <w:rPr>
                <w:rFonts w:ascii="Times New Roman" w:eastAsia="Times New Roman" w:hAnsi="Times New Roman" w:cs="Times New Roman"/>
                <w:color w:val="000000"/>
              </w:rPr>
              <w:t>Super</w:t>
            </w:r>
          </w:p>
        </w:tc>
        <w:tc>
          <w:tcPr>
            <w:tcW w:w="1300" w:type="dxa"/>
            <w:tcBorders>
              <w:top w:val="nil"/>
              <w:left w:val="nil"/>
              <w:bottom w:val="single" w:sz="4" w:space="0" w:color="auto"/>
              <w:right w:val="single" w:sz="4" w:space="0" w:color="auto"/>
            </w:tcBorders>
            <w:shd w:val="clear" w:color="auto" w:fill="auto"/>
            <w:noWrap/>
            <w:vAlign w:val="bottom"/>
            <w:hideMark/>
          </w:tcPr>
          <w:p w14:paraId="2EB74106" w14:textId="77777777" w:rsidR="002C4A10" w:rsidRPr="002C4A10" w:rsidRDefault="002C4A10" w:rsidP="002C4A10">
            <w:pPr>
              <w:jc w:val="center"/>
              <w:rPr>
                <w:rFonts w:ascii="Times New Roman" w:eastAsia="Times New Roman" w:hAnsi="Times New Roman" w:cs="Times New Roman"/>
                <w:color w:val="000000"/>
              </w:rPr>
            </w:pPr>
            <w:r w:rsidRPr="002C4A10">
              <w:rPr>
                <w:rFonts w:ascii="Times New Roman" w:eastAsia="Times New Roman" w:hAnsi="Times New Roman" w:cs="Times New Roman"/>
                <w:color w:val="000000"/>
              </w:rPr>
              <w:t>10</w:t>
            </w:r>
          </w:p>
        </w:tc>
      </w:tr>
    </w:tbl>
    <w:p w14:paraId="6E240040" w14:textId="77777777" w:rsidR="0027050F" w:rsidRDefault="0027050F" w:rsidP="0027050F">
      <w:pPr>
        <w:rPr>
          <w:rFonts w:ascii="Times New Roman" w:hAnsi="Times New Roman"/>
          <w:b/>
        </w:rPr>
      </w:pPr>
    </w:p>
    <w:p w14:paraId="762A7EB9" w14:textId="77777777" w:rsidR="0027050F" w:rsidRPr="0027050F" w:rsidRDefault="0027050F" w:rsidP="0027050F">
      <w:pPr>
        <w:rPr>
          <w:rFonts w:ascii="Times New Roman" w:hAnsi="Times New Roman"/>
        </w:rPr>
      </w:pPr>
      <w:r>
        <w:rPr>
          <w:rFonts w:ascii="Times New Roman" w:hAnsi="Times New Roman"/>
          <w:b/>
        </w:rPr>
        <w:t xml:space="preserve">II.  </w:t>
      </w:r>
      <w:r>
        <w:rPr>
          <w:rFonts w:ascii="Times New Roman" w:hAnsi="Times New Roman"/>
        </w:rPr>
        <w:t>True percentages of each type of particle in the image found when using Count and Region Radii as the qualifiers for ‘Object Feature Selection’ in Ilastik.</w:t>
      </w:r>
    </w:p>
    <w:p w14:paraId="574C7990" w14:textId="77777777" w:rsidR="0027050F" w:rsidRDefault="0027050F" w:rsidP="0027050F">
      <w:pPr>
        <w:rPr>
          <w:rFonts w:ascii="Times New Roman" w:hAnsi="Times New Roman"/>
        </w:rPr>
      </w:pPr>
    </w:p>
    <w:tbl>
      <w:tblPr>
        <w:tblW w:w="6500" w:type="dxa"/>
        <w:jc w:val="center"/>
        <w:tblInd w:w="93" w:type="dxa"/>
        <w:tblLook w:val="04A0" w:firstRow="1" w:lastRow="0" w:firstColumn="1" w:lastColumn="0" w:noHBand="0" w:noVBand="1"/>
      </w:tblPr>
      <w:tblGrid>
        <w:gridCol w:w="1223"/>
        <w:gridCol w:w="1267"/>
        <w:gridCol w:w="1078"/>
        <w:gridCol w:w="1466"/>
        <w:gridCol w:w="1466"/>
      </w:tblGrid>
      <w:tr w:rsidR="0027050F" w:rsidRPr="0027050F" w14:paraId="5DDAB7B6" w14:textId="77777777" w:rsidTr="0027050F">
        <w:trPr>
          <w:trHeight w:val="300"/>
          <w:jc w:val="center"/>
        </w:trPr>
        <w:tc>
          <w:tcPr>
            <w:tcW w:w="65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07AFB" w14:textId="77777777" w:rsidR="0027050F" w:rsidRPr="0027050F" w:rsidRDefault="0027050F" w:rsidP="0027050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Ilastik</w:t>
            </w:r>
            <w:r w:rsidRPr="0027050F">
              <w:rPr>
                <w:rFonts w:ascii="Times New Roman" w:eastAsia="Times New Roman" w:hAnsi="Times New Roman" w:cs="Times New Roman"/>
                <w:b/>
                <w:bCs/>
                <w:color w:val="000000"/>
              </w:rPr>
              <w:t xml:space="preserve"> Count &amp; Region Radii</w:t>
            </w:r>
          </w:p>
        </w:tc>
      </w:tr>
      <w:tr w:rsidR="0027050F" w:rsidRPr="0027050F" w14:paraId="41EA263A" w14:textId="77777777" w:rsidTr="0027050F">
        <w:trPr>
          <w:trHeight w:val="300"/>
          <w:jc w:val="center"/>
        </w:trPr>
        <w:tc>
          <w:tcPr>
            <w:tcW w:w="1223" w:type="dxa"/>
            <w:tcBorders>
              <w:top w:val="nil"/>
              <w:left w:val="single" w:sz="4" w:space="0" w:color="auto"/>
              <w:bottom w:val="nil"/>
              <w:right w:val="single" w:sz="4" w:space="0" w:color="auto"/>
            </w:tcBorders>
            <w:shd w:val="clear" w:color="000000" w:fill="808080"/>
            <w:noWrap/>
            <w:vAlign w:val="bottom"/>
            <w:hideMark/>
          </w:tcPr>
          <w:p w14:paraId="2AC6BABA" w14:textId="77777777" w:rsidR="0027050F" w:rsidRPr="0027050F" w:rsidRDefault="0027050F" w:rsidP="0027050F">
            <w:pPr>
              <w:rPr>
                <w:rFonts w:ascii="Times New Roman" w:eastAsia="Times New Roman" w:hAnsi="Times New Roman" w:cs="Times New Roman"/>
                <w:color w:val="000000"/>
              </w:rPr>
            </w:pPr>
            <w:r w:rsidRPr="0027050F">
              <w:rPr>
                <w:rFonts w:ascii="Times New Roman" w:eastAsia="Times New Roman" w:hAnsi="Times New Roman" w:cs="Times New Roman"/>
                <w:color w:val="000000"/>
              </w:rPr>
              <w:t> </w:t>
            </w:r>
          </w:p>
        </w:tc>
        <w:tc>
          <w:tcPr>
            <w:tcW w:w="1267" w:type="dxa"/>
            <w:tcBorders>
              <w:top w:val="nil"/>
              <w:left w:val="nil"/>
              <w:bottom w:val="single" w:sz="4" w:space="0" w:color="auto"/>
              <w:right w:val="single" w:sz="4" w:space="0" w:color="auto"/>
            </w:tcBorders>
            <w:shd w:val="clear" w:color="auto" w:fill="auto"/>
            <w:noWrap/>
            <w:vAlign w:val="bottom"/>
            <w:hideMark/>
          </w:tcPr>
          <w:p w14:paraId="24F643D8"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8/13/12</w:t>
            </w:r>
          </w:p>
        </w:tc>
        <w:tc>
          <w:tcPr>
            <w:tcW w:w="1078" w:type="dxa"/>
            <w:tcBorders>
              <w:top w:val="nil"/>
              <w:left w:val="nil"/>
              <w:bottom w:val="single" w:sz="4" w:space="0" w:color="auto"/>
              <w:right w:val="single" w:sz="4" w:space="0" w:color="auto"/>
            </w:tcBorders>
            <w:shd w:val="clear" w:color="auto" w:fill="auto"/>
            <w:noWrap/>
            <w:vAlign w:val="bottom"/>
            <w:hideMark/>
          </w:tcPr>
          <w:p w14:paraId="169579E2"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9/5/12</w:t>
            </w:r>
          </w:p>
        </w:tc>
        <w:tc>
          <w:tcPr>
            <w:tcW w:w="1466" w:type="dxa"/>
            <w:tcBorders>
              <w:top w:val="nil"/>
              <w:left w:val="nil"/>
              <w:bottom w:val="single" w:sz="4" w:space="0" w:color="auto"/>
              <w:right w:val="single" w:sz="4" w:space="0" w:color="auto"/>
            </w:tcBorders>
            <w:shd w:val="clear" w:color="auto" w:fill="auto"/>
            <w:noWrap/>
            <w:vAlign w:val="bottom"/>
            <w:hideMark/>
          </w:tcPr>
          <w:p w14:paraId="7F71805B"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10/19/13</w:t>
            </w:r>
          </w:p>
        </w:tc>
        <w:tc>
          <w:tcPr>
            <w:tcW w:w="1466" w:type="dxa"/>
            <w:tcBorders>
              <w:top w:val="nil"/>
              <w:left w:val="nil"/>
              <w:bottom w:val="single" w:sz="4" w:space="0" w:color="auto"/>
              <w:right w:val="single" w:sz="4" w:space="0" w:color="auto"/>
            </w:tcBorders>
            <w:shd w:val="clear" w:color="auto" w:fill="auto"/>
            <w:noWrap/>
            <w:vAlign w:val="bottom"/>
            <w:hideMark/>
          </w:tcPr>
          <w:p w14:paraId="4056182C"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10/30/13</w:t>
            </w:r>
          </w:p>
        </w:tc>
      </w:tr>
      <w:tr w:rsidR="0027050F" w:rsidRPr="0027050F" w14:paraId="28678670" w14:textId="77777777" w:rsidTr="0027050F">
        <w:trPr>
          <w:trHeight w:val="300"/>
          <w:jc w:val="center"/>
        </w:trPr>
        <w:tc>
          <w:tcPr>
            <w:tcW w:w="1223" w:type="dxa"/>
            <w:tcBorders>
              <w:top w:val="single" w:sz="4" w:space="0" w:color="auto"/>
              <w:left w:val="single" w:sz="4" w:space="0" w:color="auto"/>
              <w:bottom w:val="nil"/>
              <w:right w:val="single" w:sz="4" w:space="0" w:color="auto"/>
            </w:tcBorders>
            <w:shd w:val="clear" w:color="auto" w:fill="auto"/>
            <w:noWrap/>
            <w:vAlign w:val="bottom"/>
            <w:hideMark/>
          </w:tcPr>
          <w:p w14:paraId="4EC95B88"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 xml:space="preserve">Single </w:t>
            </w:r>
          </w:p>
        </w:tc>
        <w:tc>
          <w:tcPr>
            <w:tcW w:w="1267" w:type="dxa"/>
            <w:tcBorders>
              <w:top w:val="nil"/>
              <w:left w:val="nil"/>
              <w:bottom w:val="nil"/>
              <w:right w:val="nil"/>
            </w:tcBorders>
            <w:shd w:val="clear" w:color="000000" w:fill="D9D9D9"/>
            <w:noWrap/>
            <w:vAlign w:val="bottom"/>
            <w:hideMark/>
          </w:tcPr>
          <w:p w14:paraId="1DC94FCB"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70.0%</w:t>
            </w:r>
          </w:p>
        </w:tc>
        <w:tc>
          <w:tcPr>
            <w:tcW w:w="1078" w:type="dxa"/>
            <w:tcBorders>
              <w:top w:val="nil"/>
              <w:left w:val="single" w:sz="4" w:space="0" w:color="auto"/>
              <w:bottom w:val="nil"/>
              <w:right w:val="single" w:sz="4" w:space="0" w:color="auto"/>
            </w:tcBorders>
            <w:shd w:val="clear" w:color="000000" w:fill="D9D9D9"/>
            <w:noWrap/>
            <w:vAlign w:val="bottom"/>
            <w:hideMark/>
          </w:tcPr>
          <w:p w14:paraId="4F06DAFD"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52.0%</w:t>
            </w:r>
          </w:p>
        </w:tc>
        <w:tc>
          <w:tcPr>
            <w:tcW w:w="1466" w:type="dxa"/>
            <w:tcBorders>
              <w:top w:val="nil"/>
              <w:left w:val="nil"/>
              <w:bottom w:val="nil"/>
              <w:right w:val="single" w:sz="4" w:space="0" w:color="auto"/>
            </w:tcBorders>
            <w:shd w:val="clear" w:color="000000" w:fill="D9D9D9"/>
            <w:noWrap/>
            <w:vAlign w:val="bottom"/>
            <w:hideMark/>
          </w:tcPr>
          <w:p w14:paraId="550BF73F"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66.8%</w:t>
            </w:r>
          </w:p>
        </w:tc>
        <w:tc>
          <w:tcPr>
            <w:tcW w:w="1466" w:type="dxa"/>
            <w:tcBorders>
              <w:top w:val="nil"/>
              <w:left w:val="nil"/>
              <w:bottom w:val="nil"/>
              <w:right w:val="single" w:sz="4" w:space="0" w:color="auto"/>
            </w:tcBorders>
            <w:shd w:val="clear" w:color="000000" w:fill="D9D9D9"/>
            <w:noWrap/>
            <w:vAlign w:val="bottom"/>
            <w:hideMark/>
          </w:tcPr>
          <w:p w14:paraId="471915D6"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91.6%</w:t>
            </w:r>
          </w:p>
        </w:tc>
      </w:tr>
      <w:tr w:rsidR="0027050F" w:rsidRPr="0027050F" w14:paraId="75791A0F" w14:textId="77777777" w:rsidTr="0027050F">
        <w:trPr>
          <w:trHeight w:val="300"/>
          <w:jc w:val="center"/>
        </w:trPr>
        <w:tc>
          <w:tcPr>
            <w:tcW w:w="1223" w:type="dxa"/>
            <w:tcBorders>
              <w:top w:val="nil"/>
              <w:left w:val="single" w:sz="4" w:space="0" w:color="auto"/>
              <w:bottom w:val="nil"/>
              <w:right w:val="single" w:sz="4" w:space="0" w:color="auto"/>
            </w:tcBorders>
            <w:shd w:val="clear" w:color="auto" w:fill="auto"/>
            <w:noWrap/>
            <w:vAlign w:val="bottom"/>
            <w:hideMark/>
          </w:tcPr>
          <w:p w14:paraId="269D4C68"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Double</w:t>
            </w:r>
          </w:p>
        </w:tc>
        <w:tc>
          <w:tcPr>
            <w:tcW w:w="1267" w:type="dxa"/>
            <w:tcBorders>
              <w:top w:val="nil"/>
              <w:left w:val="nil"/>
              <w:bottom w:val="nil"/>
              <w:right w:val="nil"/>
            </w:tcBorders>
            <w:shd w:val="clear" w:color="auto" w:fill="auto"/>
            <w:noWrap/>
            <w:vAlign w:val="bottom"/>
            <w:hideMark/>
          </w:tcPr>
          <w:p w14:paraId="7B8903D3"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20.4%</w:t>
            </w:r>
          </w:p>
        </w:tc>
        <w:tc>
          <w:tcPr>
            <w:tcW w:w="1078" w:type="dxa"/>
            <w:tcBorders>
              <w:top w:val="nil"/>
              <w:left w:val="single" w:sz="4" w:space="0" w:color="auto"/>
              <w:bottom w:val="nil"/>
              <w:right w:val="single" w:sz="4" w:space="0" w:color="auto"/>
            </w:tcBorders>
            <w:shd w:val="clear" w:color="auto" w:fill="auto"/>
            <w:noWrap/>
            <w:vAlign w:val="bottom"/>
            <w:hideMark/>
          </w:tcPr>
          <w:p w14:paraId="5264B1E2"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20.3%</w:t>
            </w:r>
          </w:p>
        </w:tc>
        <w:tc>
          <w:tcPr>
            <w:tcW w:w="1466" w:type="dxa"/>
            <w:tcBorders>
              <w:top w:val="nil"/>
              <w:left w:val="nil"/>
              <w:bottom w:val="nil"/>
              <w:right w:val="single" w:sz="4" w:space="0" w:color="auto"/>
            </w:tcBorders>
            <w:shd w:val="clear" w:color="auto" w:fill="auto"/>
            <w:noWrap/>
            <w:vAlign w:val="bottom"/>
            <w:hideMark/>
          </w:tcPr>
          <w:p w14:paraId="7C090B3B"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23.4%</w:t>
            </w:r>
          </w:p>
        </w:tc>
        <w:tc>
          <w:tcPr>
            <w:tcW w:w="1466" w:type="dxa"/>
            <w:tcBorders>
              <w:top w:val="nil"/>
              <w:left w:val="nil"/>
              <w:bottom w:val="nil"/>
              <w:right w:val="single" w:sz="4" w:space="0" w:color="auto"/>
            </w:tcBorders>
            <w:shd w:val="clear" w:color="auto" w:fill="auto"/>
            <w:noWrap/>
            <w:vAlign w:val="bottom"/>
            <w:hideMark/>
          </w:tcPr>
          <w:p w14:paraId="0200D85D"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7.3%</w:t>
            </w:r>
          </w:p>
        </w:tc>
      </w:tr>
      <w:tr w:rsidR="0027050F" w:rsidRPr="0027050F" w14:paraId="60D33CF7" w14:textId="77777777" w:rsidTr="0027050F">
        <w:trPr>
          <w:trHeight w:val="300"/>
          <w:jc w:val="center"/>
        </w:trPr>
        <w:tc>
          <w:tcPr>
            <w:tcW w:w="1223" w:type="dxa"/>
            <w:tcBorders>
              <w:top w:val="nil"/>
              <w:left w:val="single" w:sz="4" w:space="0" w:color="auto"/>
              <w:bottom w:val="nil"/>
              <w:right w:val="single" w:sz="4" w:space="0" w:color="auto"/>
            </w:tcBorders>
            <w:shd w:val="clear" w:color="auto" w:fill="auto"/>
            <w:noWrap/>
            <w:vAlign w:val="bottom"/>
            <w:hideMark/>
          </w:tcPr>
          <w:p w14:paraId="41E9AD15"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Flats</w:t>
            </w:r>
          </w:p>
        </w:tc>
        <w:tc>
          <w:tcPr>
            <w:tcW w:w="1267" w:type="dxa"/>
            <w:tcBorders>
              <w:top w:val="nil"/>
              <w:left w:val="nil"/>
              <w:bottom w:val="nil"/>
              <w:right w:val="nil"/>
            </w:tcBorders>
            <w:shd w:val="clear" w:color="000000" w:fill="D9D9D9"/>
            <w:noWrap/>
            <w:vAlign w:val="bottom"/>
            <w:hideMark/>
          </w:tcPr>
          <w:p w14:paraId="3CA1E44F"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8.7%</w:t>
            </w:r>
          </w:p>
        </w:tc>
        <w:tc>
          <w:tcPr>
            <w:tcW w:w="1078" w:type="dxa"/>
            <w:tcBorders>
              <w:top w:val="nil"/>
              <w:left w:val="single" w:sz="4" w:space="0" w:color="auto"/>
              <w:bottom w:val="nil"/>
              <w:right w:val="single" w:sz="4" w:space="0" w:color="auto"/>
            </w:tcBorders>
            <w:shd w:val="clear" w:color="000000" w:fill="D9D9D9"/>
            <w:noWrap/>
            <w:vAlign w:val="bottom"/>
            <w:hideMark/>
          </w:tcPr>
          <w:p w14:paraId="29C070D5"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13.3%</w:t>
            </w:r>
          </w:p>
        </w:tc>
        <w:tc>
          <w:tcPr>
            <w:tcW w:w="1466" w:type="dxa"/>
            <w:tcBorders>
              <w:top w:val="nil"/>
              <w:left w:val="nil"/>
              <w:bottom w:val="nil"/>
              <w:right w:val="single" w:sz="4" w:space="0" w:color="auto"/>
            </w:tcBorders>
            <w:shd w:val="clear" w:color="000000" w:fill="D9D9D9"/>
            <w:noWrap/>
            <w:vAlign w:val="bottom"/>
            <w:hideMark/>
          </w:tcPr>
          <w:p w14:paraId="56B575D1"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8.9%</w:t>
            </w:r>
          </w:p>
        </w:tc>
        <w:tc>
          <w:tcPr>
            <w:tcW w:w="1466" w:type="dxa"/>
            <w:tcBorders>
              <w:top w:val="nil"/>
              <w:left w:val="nil"/>
              <w:bottom w:val="nil"/>
              <w:right w:val="single" w:sz="4" w:space="0" w:color="auto"/>
            </w:tcBorders>
            <w:shd w:val="clear" w:color="000000" w:fill="D9D9D9"/>
            <w:noWrap/>
            <w:vAlign w:val="bottom"/>
            <w:hideMark/>
          </w:tcPr>
          <w:p w14:paraId="0A75B5FC"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0.0%</w:t>
            </w:r>
          </w:p>
        </w:tc>
      </w:tr>
      <w:tr w:rsidR="0027050F" w:rsidRPr="0027050F" w14:paraId="5C6FEB06" w14:textId="77777777" w:rsidTr="0027050F">
        <w:trPr>
          <w:trHeight w:val="300"/>
          <w:jc w:val="center"/>
        </w:trPr>
        <w:tc>
          <w:tcPr>
            <w:tcW w:w="1223" w:type="dxa"/>
            <w:tcBorders>
              <w:top w:val="nil"/>
              <w:left w:val="single" w:sz="4" w:space="0" w:color="auto"/>
              <w:bottom w:val="single" w:sz="4" w:space="0" w:color="auto"/>
              <w:right w:val="single" w:sz="4" w:space="0" w:color="auto"/>
            </w:tcBorders>
            <w:shd w:val="clear" w:color="auto" w:fill="auto"/>
            <w:noWrap/>
            <w:vAlign w:val="bottom"/>
            <w:hideMark/>
          </w:tcPr>
          <w:p w14:paraId="22D6C751"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Cluster</w:t>
            </w:r>
          </w:p>
        </w:tc>
        <w:tc>
          <w:tcPr>
            <w:tcW w:w="1267" w:type="dxa"/>
            <w:tcBorders>
              <w:top w:val="nil"/>
              <w:left w:val="nil"/>
              <w:bottom w:val="single" w:sz="4" w:space="0" w:color="auto"/>
              <w:right w:val="nil"/>
            </w:tcBorders>
            <w:shd w:val="clear" w:color="auto" w:fill="auto"/>
            <w:noWrap/>
            <w:vAlign w:val="bottom"/>
            <w:hideMark/>
          </w:tcPr>
          <w:p w14:paraId="24A9445F"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0.8%</w:t>
            </w:r>
          </w:p>
        </w:tc>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CB0B11A"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14.4%</w:t>
            </w:r>
          </w:p>
        </w:tc>
        <w:tc>
          <w:tcPr>
            <w:tcW w:w="1466" w:type="dxa"/>
            <w:tcBorders>
              <w:top w:val="nil"/>
              <w:left w:val="nil"/>
              <w:bottom w:val="single" w:sz="4" w:space="0" w:color="auto"/>
              <w:right w:val="single" w:sz="4" w:space="0" w:color="auto"/>
            </w:tcBorders>
            <w:shd w:val="clear" w:color="auto" w:fill="auto"/>
            <w:noWrap/>
            <w:vAlign w:val="bottom"/>
            <w:hideMark/>
          </w:tcPr>
          <w:p w14:paraId="7186FBF3"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1.0%</w:t>
            </w:r>
          </w:p>
        </w:tc>
        <w:tc>
          <w:tcPr>
            <w:tcW w:w="1466" w:type="dxa"/>
            <w:tcBorders>
              <w:top w:val="nil"/>
              <w:left w:val="nil"/>
              <w:bottom w:val="single" w:sz="4" w:space="0" w:color="auto"/>
              <w:right w:val="single" w:sz="4" w:space="0" w:color="auto"/>
            </w:tcBorders>
            <w:shd w:val="clear" w:color="auto" w:fill="auto"/>
            <w:noWrap/>
            <w:vAlign w:val="bottom"/>
            <w:hideMark/>
          </w:tcPr>
          <w:p w14:paraId="627C7A62"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2.0%</w:t>
            </w:r>
          </w:p>
        </w:tc>
      </w:tr>
    </w:tbl>
    <w:p w14:paraId="4C9834D3" w14:textId="77777777" w:rsidR="0027050F" w:rsidRPr="0027050F" w:rsidRDefault="0027050F" w:rsidP="0027050F">
      <w:pPr>
        <w:jc w:val="center"/>
        <w:rPr>
          <w:rFonts w:ascii="Times New Roman" w:hAnsi="Times New Roman"/>
          <w:b/>
        </w:rPr>
      </w:pPr>
    </w:p>
    <w:p w14:paraId="062F4EDC" w14:textId="77777777" w:rsidR="0027050F" w:rsidRDefault="0027050F" w:rsidP="0027050F">
      <w:pPr>
        <w:rPr>
          <w:rFonts w:ascii="Times New Roman" w:hAnsi="Times New Roman"/>
        </w:rPr>
      </w:pPr>
      <w:r>
        <w:rPr>
          <w:rFonts w:ascii="Times New Roman" w:hAnsi="Times New Roman"/>
          <w:b/>
        </w:rPr>
        <w:t xml:space="preserve">III.  </w:t>
      </w:r>
      <w:r>
        <w:rPr>
          <w:rFonts w:ascii="Times New Roman" w:hAnsi="Times New Roman"/>
        </w:rPr>
        <w:t xml:space="preserve">True percentages of each type of particle in the image determined by a </w:t>
      </w:r>
      <w:r w:rsidR="00EA327E">
        <w:rPr>
          <w:rFonts w:ascii="Times New Roman" w:hAnsi="Times New Roman"/>
        </w:rPr>
        <w:t>previous</w:t>
      </w:r>
      <w:r>
        <w:rPr>
          <w:rFonts w:ascii="Times New Roman" w:hAnsi="Times New Roman"/>
        </w:rPr>
        <w:t xml:space="preserve"> method.</w:t>
      </w:r>
    </w:p>
    <w:tbl>
      <w:tblPr>
        <w:tblW w:w="6500" w:type="dxa"/>
        <w:jc w:val="center"/>
        <w:tblInd w:w="93" w:type="dxa"/>
        <w:tblLook w:val="04A0" w:firstRow="1" w:lastRow="0" w:firstColumn="1" w:lastColumn="0" w:noHBand="0" w:noVBand="1"/>
      </w:tblPr>
      <w:tblGrid>
        <w:gridCol w:w="1223"/>
        <w:gridCol w:w="1267"/>
        <w:gridCol w:w="1078"/>
        <w:gridCol w:w="1466"/>
        <w:gridCol w:w="1466"/>
      </w:tblGrid>
      <w:tr w:rsidR="0027050F" w:rsidRPr="0027050F" w14:paraId="3A3FE9B4" w14:textId="77777777" w:rsidTr="0027050F">
        <w:trPr>
          <w:trHeight w:val="300"/>
          <w:jc w:val="center"/>
        </w:trPr>
        <w:tc>
          <w:tcPr>
            <w:tcW w:w="65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0F6FB" w14:textId="77777777" w:rsidR="0027050F" w:rsidRPr="0027050F" w:rsidRDefault="0027050F" w:rsidP="0027050F">
            <w:pPr>
              <w:jc w:val="center"/>
              <w:rPr>
                <w:rFonts w:ascii="Times New Roman" w:eastAsia="Times New Roman" w:hAnsi="Times New Roman" w:cs="Times New Roman"/>
                <w:b/>
                <w:bCs/>
                <w:color w:val="000000"/>
              </w:rPr>
            </w:pPr>
            <w:r w:rsidRPr="0027050F">
              <w:rPr>
                <w:rFonts w:ascii="Times New Roman" w:eastAsia="Times New Roman" w:hAnsi="Times New Roman" w:cs="Times New Roman"/>
                <w:b/>
                <w:bCs/>
                <w:color w:val="000000"/>
              </w:rPr>
              <w:t>Old Method</w:t>
            </w:r>
          </w:p>
        </w:tc>
      </w:tr>
      <w:tr w:rsidR="0027050F" w:rsidRPr="0027050F" w14:paraId="5FA0E076" w14:textId="77777777" w:rsidTr="0027050F">
        <w:trPr>
          <w:trHeight w:val="300"/>
          <w:jc w:val="center"/>
        </w:trPr>
        <w:tc>
          <w:tcPr>
            <w:tcW w:w="1223" w:type="dxa"/>
            <w:tcBorders>
              <w:top w:val="nil"/>
              <w:left w:val="single" w:sz="4" w:space="0" w:color="auto"/>
              <w:bottom w:val="nil"/>
              <w:right w:val="single" w:sz="4" w:space="0" w:color="auto"/>
            </w:tcBorders>
            <w:shd w:val="clear" w:color="000000" w:fill="808080"/>
            <w:noWrap/>
            <w:vAlign w:val="bottom"/>
            <w:hideMark/>
          </w:tcPr>
          <w:p w14:paraId="40F57528" w14:textId="77777777" w:rsidR="0027050F" w:rsidRPr="0027050F" w:rsidRDefault="0027050F" w:rsidP="0027050F">
            <w:pPr>
              <w:rPr>
                <w:rFonts w:ascii="Times New Roman" w:eastAsia="Times New Roman" w:hAnsi="Times New Roman" w:cs="Times New Roman"/>
                <w:color w:val="000000"/>
              </w:rPr>
            </w:pPr>
            <w:r w:rsidRPr="0027050F">
              <w:rPr>
                <w:rFonts w:ascii="Times New Roman" w:eastAsia="Times New Roman" w:hAnsi="Times New Roman" w:cs="Times New Roman"/>
                <w:color w:val="000000"/>
              </w:rPr>
              <w:t> </w:t>
            </w:r>
          </w:p>
        </w:tc>
        <w:tc>
          <w:tcPr>
            <w:tcW w:w="1267" w:type="dxa"/>
            <w:tcBorders>
              <w:top w:val="nil"/>
              <w:left w:val="nil"/>
              <w:bottom w:val="single" w:sz="4" w:space="0" w:color="auto"/>
              <w:right w:val="single" w:sz="4" w:space="0" w:color="auto"/>
            </w:tcBorders>
            <w:shd w:val="clear" w:color="auto" w:fill="auto"/>
            <w:noWrap/>
            <w:vAlign w:val="bottom"/>
            <w:hideMark/>
          </w:tcPr>
          <w:p w14:paraId="239C6669"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8/13/12</w:t>
            </w:r>
          </w:p>
        </w:tc>
        <w:tc>
          <w:tcPr>
            <w:tcW w:w="1078" w:type="dxa"/>
            <w:tcBorders>
              <w:top w:val="nil"/>
              <w:left w:val="nil"/>
              <w:bottom w:val="single" w:sz="4" w:space="0" w:color="auto"/>
              <w:right w:val="single" w:sz="4" w:space="0" w:color="auto"/>
            </w:tcBorders>
            <w:shd w:val="clear" w:color="auto" w:fill="auto"/>
            <w:noWrap/>
            <w:vAlign w:val="bottom"/>
            <w:hideMark/>
          </w:tcPr>
          <w:p w14:paraId="42118CAE"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9/5/12</w:t>
            </w:r>
          </w:p>
        </w:tc>
        <w:tc>
          <w:tcPr>
            <w:tcW w:w="1466" w:type="dxa"/>
            <w:tcBorders>
              <w:top w:val="nil"/>
              <w:left w:val="nil"/>
              <w:bottom w:val="single" w:sz="4" w:space="0" w:color="auto"/>
              <w:right w:val="single" w:sz="4" w:space="0" w:color="auto"/>
            </w:tcBorders>
            <w:shd w:val="clear" w:color="auto" w:fill="auto"/>
            <w:noWrap/>
            <w:vAlign w:val="bottom"/>
            <w:hideMark/>
          </w:tcPr>
          <w:p w14:paraId="364ED471"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10/19/13</w:t>
            </w:r>
          </w:p>
        </w:tc>
        <w:tc>
          <w:tcPr>
            <w:tcW w:w="1466" w:type="dxa"/>
            <w:tcBorders>
              <w:top w:val="nil"/>
              <w:left w:val="nil"/>
              <w:bottom w:val="single" w:sz="4" w:space="0" w:color="auto"/>
              <w:right w:val="single" w:sz="4" w:space="0" w:color="auto"/>
            </w:tcBorders>
            <w:shd w:val="clear" w:color="auto" w:fill="auto"/>
            <w:noWrap/>
            <w:vAlign w:val="bottom"/>
            <w:hideMark/>
          </w:tcPr>
          <w:p w14:paraId="0938B5BE"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10/30/13</w:t>
            </w:r>
          </w:p>
        </w:tc>
      </w:tr>
      <w:tr w:rsidR="0027050F" w:rsidRPr="0027050F" w14:paraId="5B775285" w14:textId="77777777" w:rsidTr="0027050F">
        <w:trPr>
          <w:trHeight w:val="300"/>
          <w:jc w:val="center"/>
        </w:trPr>
        <w:tc>
          <w:tcPr>
            <w:tcW w:w="1223" w:type="dxa"/>
            <w:tcBorders>
              <w:top w:val="single" w:sz="4" w:space="0" w:color="auto"/>
              <w:left w:val="single" w:sz="4" w:space="0" w:color="auto"/>
              <w:bottom w:val="nil"/>
              <w:right w:val="single" w:sz="4" w:space="0" w:color="auto"/>
            </w:tcBorders>
            <w:shd w:val="clear" w:color="auto" w:fill="auto"/>
            <w:noWrap/>
            <w:vAlign w:val="bottom"/>
            <w:hideMark/>
          </w:tcPr>
          <w:p w14:paraId="39CFEFAD"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 xml:space="preserve">Single </w:t>
            </w:r>
          </w:p>
        </w:tc>
        <w:tc>
          <w:tcPr>
            <w:tcW w:w="1267" w:type="dxa"/>
            <w:tcBorders>
              <w:top w:val="nil"/>
              <w:left w:val="nil"/>
              <w:bottom w:val="nil"/>
              <w:right w:val="nil"/>
            </w:tcBorders>
            <w:shd w:val="clear" w:color="000000" w:fill="D9D9D9"/>
            <w:noWrap/>
            <w:vAlign w:val="bottom"/>
            <w:hideMark/>
          </w:tcPr>
          <w:p w14:paraId="792A8D65"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75.8%</w:t>
            </w:r>
          </w:p>
        </w:tc>
        <w:tc>
          <w:tcPr>
            <w:tcW w:w="1078" w:type="dxa"/>
            <w:tcBorders>
              <w:top w:val="nil"/>
              <w:left w:val="single" w:sz="4" w:space="0" w:color="auto"/>
              <w:bottom w:val="nil"/>
              <w:right w:val="single" w:sz="4" w:space="0" w:color="auto"/>
            </w:tcBorders>
            <w:shd w:val="clear" w:color="000000" w:fill="D9D9D9"/>
            <w:noWrap/>
            <w:vAlign w:val="bottom"/>
            <w:hideMark/>
          </w:tcPr>
          <w:p w14:paraId="707F5BD1"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57.6%</w:t>
            </w:r>
          </w:p>
        </w:tc>
        <w:tc>
          <w:tcPr>
            <w:tcW w:w="1466" w:type="dxa"/>
            <w:tcBorders>
              <w:top w:val="nil"/>
              <w:left w:val="nil"/>
              <w:bottom w:val="nil"/>
              <w:right w:val="single" w:sz="4" w:space="0" w:color="auto"/>
            </w:tcBorders>
            <w:shd w:val="clear" w:color="000000" w:fill="D9D9D9"/>
            <w:noWrap/>
            <w:vAlign w:val="bottom"/>
            <w:hideMark/>
          </w:tcPr>
          <w:p w14:paraId="60F25224"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71.15%</w:t>
            </w:r>
          </w:p>
        </w:tc>
        <w:tc>
          <w:tcPr>
            <w:tcW w:w="1466" w:type="dxa"/>
            <w:tcBorders>
              <w:top w:val="nil"/>
              <w:left w:val="nil"/>
              <w:bottom w:val="nil"/>
              <w:right w:val="single" w:sz="4" w:space="0" w:color="auto"/>
            </w:tcBorders>
            <w:shd w:val="clear" w:color="000000" w:fill="D9D9D9"/>
            <w:noWrap/>
            <w:vAlign w:val="bottom"/>
            <w:hideMark/>
          </w:tcPr>
          <w:p w14:paraId="4B461A9A"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92.41%</w:t>
            </w:r>
          </w:p>
        </w:tc>
      </w:tr>
      <w:tr w:rsidR="0027050F" w:rsidRPr="0027050F" w14:paraId="5CAC215F" w14:textId="77777777" w:rsidTr="0027050F">
        <w:trPr>
          <w:trHeight w:val="300"/>
          <w:jc w:val="center"/>
        </w:trPr>
        <w:tc>
          <w:tcPr>
            <w:tcW w:w="1223" w:type="dxa"/>
            <w:tcBorders>
              <w:top w:val="nil"/>
              <w:left w:val="single" w:sz="4" w:space="0" w:color="auto"/>
              <w:bottom w:val="nil"/>
              <w:right w:val="single" w:sz="4" w:space="0" w:color="auto"/>
            </w:tcBorders>
            <w:shd w:val="clear" w:color="auto" w:fill="auto"/>
            <w:noWrap/>
            <w:vAlign w:val="bottom"/>
            <w:hideMark/>
          </w:tcPr>
          <w:p w14:paraId="0BA5AA96"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Double</w:t>
            </w:r>
          </w:p>
        </w:tc>
        <w:tc>
          <w:tcPr>
            <w:tcW w:w="1267" w:type="dxa"/>
            <w:tcBorders>
              <w:top w:val="nil"/>
              <w:left w:val="nil"/>
              <w:bottom w:val="nil"/>
              <w:right w:val="nil"/>
            </w:tcBorders>
            <w:shd w:val="clear" w:color="auto" w:fill="auto"/>
            <w:noWrap/>
            <w:vAlign w:val="bottom"/>
            <w:hideMark/>
          </w:tcPr>
          <w:p w14:paraId="6D8DF00A"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19.0%</w:t>
            </w:r>
          </w:p>
        </w:tc>
        <w:tc>
          <w:tcPr>
            <w:tcW w:w="1078" w:type="dxa"/>
            <w:tcBorders>
              <w:top w:val="nil"/>
              <w:left w:val="single" w:sz="4" w:space="0" w:color="auto"/>
              <w:bottom w:val="nil"/>
              <w:right w:val="single" w:sz="4" w:space="0" w:color="auto"/>
            </w:tcBorders>
            <w:shd w:val="clear" w:color="auto" w:fill="auto"/>
            <w:noWrap/>
            <w:vAlign w:val="bottom"/>
            <w:hideMark/>
          </w:tcPr>
          <w:p w14:paraId="793EAEA2"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12.3%</w:t>
            </w:r>
          </w:p>
        </w:tc>
        <w:tc>
          <w:tcPr>
            <w:tcW w:w="1466" w:type="dxa"/>
            <w:tcBorders>
              <w:top w:val="nil"/>
              <w:left w:val="nil"/>
              <w:bottom w:val="nil"/>
              <w:right w:val="single" w:sz="4" w:space="0" w:color="auto"/>
            </w:tcBorders>
            <w:shd w:val="clear" w:color="auto" w:fill="auto"/>
            <w:noWrap/>
            <w:vAlign w:val="bottom"/>
            <w:hideMark/>
          </w:tcPr>
          <w:p w14:paraId="74BE788E"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19.87%</w:t>
            </w:r>
          </w:p>
        </w:tc>
        <w:tc>
          <w:tcPr>
            <w:tcW w:w="1466" w:type="dxa"/>
            <w:tcBorders>
              <w:top w:val="nil"/>
              <w:left w:val="nil"/>
              <w:bottom w:val="nil"/>
              <w:right w:val="single" w:sz="4" w:space="0" w:color="auto"/>
            </w:tcBorders>
            <w:shd w:val="clear" w:color="auto" w:fill="auto"/>
            <w:noWrap/>
            <w:vAlign w:val="bottom"/>
            <w:hideMark/>
          </w:tcPr>
          <w:p w14:paraId="4A23DB98"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6.95%</w:t>
            </w:r>
          </w:p>
        </w:tc>
      </w:tr>
      <w:tr w:rsidR="0027050F" w:rsidRPr="0027050F" w14:paraId="4F9AAB62" w14:textId="77777777" w:rsidTr="0027050F">
        <w:trPr>
          <w:trHeight w:val="300"/>
          <w:jc w:val="center"/>
        </w:trPr>
        <w:tc>
          <w:tcPr>
            <w:tcW w:w="1223" w:type="dxa"/>
            <w:tcBorders>
              <w:top w:val="nil"/>
              <w:left w:val="single" w:sz="4" w:space="0" w:color="auto"/>
              <w:bottom w:val="nil"/>
              <w:right w:val="single" w:sz="4" w:space="0" w:color="auto"/>
            </w:tcBorders>
            <w:shd w:val="clear" w:color="auto" w:fill="auto"/>
            <w:noWrap/>
            <w:vAlign w:val="bottom"/>
            <w:hideMark/>
          </w:tcPr>
          <w:p w14:paraId="52891A78"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Flats</w:t>
            </w:r>
          </w:p>
        </w:tc>
        <w:tc>
          <w:tcPr>
            <w:tcW w:w="1267" w:type="dxa"/>
            <w:tcBorders>
              <w:top w:val="nil"/>
              <w:left w:val="nil"/>
              <w:bottom w:val="nil"/>
              <w:right w:val="nil"/>
            </w:tcBorders>
            <w:shd w:val="clear" w:color="000000" w:fill="D9D9D9"/>
            <w:noWrap/>
            <w:vAlign w:val="bottom"/>
            <w:hideMark/>
          </w:tcPr>
          <w:p w14:paraId="70C94914"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5.2%</w:t>
            </w:r>
          </w:p>
        </w:tc>
        <w:tc>
          <w:tcPr>
            <w:tcW w:w="1078" w:type="dxa"/>
            <w:tcBorders>
              <w:top w:val="nil"/>
              <w:left w:val="single" w:sz="4" w:space="0" w:color="auto"/>
              <w:bottom w:val="nil"/>
              <w:right w:val="single" w:sz="4" w:space="0" w:color="auto"/>
            </w:tcBorders>
            <w:shd w:val="clear" w:color="000000" w:fill="D9D9D9"/>
            <w:noWrap/>
            <w:vAlign w:val="bottom"/>
            <w:hideMark/>
          </w:tcPr>
          <w:p w14:paraId="75057C26"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23.3%</w:t>
            </w:r>
          </w:p>
        </w:tc>
        <w:tc>
          <w:tcPr>
            <w:tcW w:w="1466" w:type="dxa"/>
            <w:tcBorders>
              <w:top w:val="nil"/>
              <w:left w:val="nil"/>
              <w:bottom w:val="nil"/>
              <w:right w:val="single" w:sz="4" w:space="0" w:color="auto"/>
            </w:tcBorders>
            <w:shd w:val="clear" w:color="000000" w:fill="D9D9D9"/>
            <w:noWrap/>
            <w:vAlign w:val="bottom"/>
            <w:hideMark/>
          </w:tcPr>
          <w:p w14:paraId="6E78AF9E"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8.92%</w:t>
            </w:r>
          </w:p>
        </w:tc>
        <w:tc>
          <w:tcPr>
            <w:tcW w:w="1466" w:type="dxa"/>
            <w:tcBorders>
              <w:top w:val="nil"/>
              <w:left w:val="nil"/>
              <w:bottom w:val="nil"/>
              <w:right w:val="single" w:sz="4" w:space="0" w:color="auto"/>
            </w:tcBorders>
            <w:shd w:val="clear" w:color="000000" w:fill="D9D9D9"/>
            <w:noWrap/>
            <w:vAlign w:val="bottom"/>
            <w:hideMark/>
          </w:tcPr>
          <w:p w14:paraId="26F63D4E"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0.64%</w:t>
            </w:r>
          </w:p>
        </w:tc>
      </w:tr>
      <w:tr w:rsidR="0027050F" w:rsidRPr="0027050F" w14:paraId="18C257C8" w14:textId="77777777" w:rsidTr="0027050F">
        <w:trPr>
          <w:trHeight w:val="300"/>
          <w:jc w:val="center"/>
        </w:trPr>
        <w:tc>
          <w:tcPr>
            <w:tcW w:w="1223" w:type="dxa"/>
            <w:tcBorders>
              <w:top w:val="nil"/>
              <w:left w:val="single" w:sz="4" w:space="0" w:color="auto"/>
              <w:bottom w:val="single" w:sz="4" w:space="0" w:color="auto"/>
              <w:right w:val="single" w:sz="4" w:space="0" w:color="auto"/>
            </w:tcBorders>
            <w:shd w:val="clear" w:color="auto" w:fill="auto"/>
            <w:noWrap/>
            <w:vAlign w:val="bottom"/>
            <w:hideMark/>
          </w:tcPr>
          <w:p w14:paraId="7BADA477"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Cluster</w:t>
            </w:r>
          </w:p>
        </w:tc>
        <w:tc>
          <w:tcPr>
            <w:tcW w:w="1267" w:type="dxa"/>
            <w:tcBorders>
              <w:top w:val="nil"/>
              <w:left w:val="nil"/>
              <w:bottom w:val="single" w:sz="4" w:space="0" w:color="auto"/>
              <w:right w:val="nil"/>
            </w:tcBorders>
            <w:shd w:val="clear" w:color="auto" w:fill="auto"/>
            <w:noWrap/>
            <w:vAlign w:val="bottom"/>
            <w:hideMark/>
          </w:tcPr>
          <w:p w14:paraId="4F8B6F94"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0.1%</w:t>
            </w:r>
          </w:p>
        </w:tc>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3444E78"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6.8%</w:t>
            </w:r>
          </w:p>
        </w:tc>
        <w:tc>
          <w:tcPr>
            <w:tcW w:w="1466" w:type="dxa"/>
            <w:tcBorders>
              <w:top w:val="nil"/>
              <w:left w:val="nil"/>
              <w:bottom w:val="single" w:sz="4" w:space="0" w:color="auto"/>
              <w:right w:val="single" w:sz="4" w:space="0" w:color="auto"/>
            </w:tcBorders>
            <w:shd w:val="clear" w:color="auto" w:fill="auto"/>
            <w:noWrap/>
            <w:vAlign w:val="bottom"/>
            <w:hideMark/>
          </w:tcPr>
          <w:p w14:paraId="5E8312EE"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0.07%</w:t>
            </w:r>
          </w:p>
        </w:tc>
        <w:tc>
          <w:tcPr>
            <w:tcW w:w="1466" w:type="dxa"/>
            <w:tcBorders>
              <w:top w:val="nil"/>
              <w:left w:val="nil"/>
              <w:bottom w:val="single" w:sz="4" w:space="0" w:color="auto"/>
              <w:right w:val="single" w:sz="4" w:space="0" w:color="auto"/>
            </w:tcBorders>
            <w:shd w:val="clear" w:color="auto" w:fill="auto"/>
            <w:noWrap/>
            <w:vAlign w:val="bottom"/>
            <w:hideMark/>
          </w:tcPr>
          <w:p w14:paraId="657A1D49" w14:textId="77777777" w:rsidR="0027050F" w:rsidRPr="0027050F" w:rsidRDefault="0027050F" w:rsidP="0027050F">
            <w:pPr>
              <w:jc w:val="center"/>
              <w:rPr>
                <w:rFonts w:ascii="Times New Roman" w:eastAsia="Times New Roman" w:hAnsi="Times New Roman" w:cs="Times New Roman"/>
                <w:color w:val="000000"/>
              </w:rPr>
            </w:pPr>
            <w:r w:rsidRPr="0027050F">
              <w:rPr>
                <w:rFonts w:ascii="Times New Roman" w:eastAsia="Times New Roman" w:hAnsi="Times New Roman" w:cs="Times New Roman"/>
                <w:color w:val="000000"/>
              </w:rPr>
              <w:t>0.00%</w:t>
            </w:r>
          </w:p>
        </w:tc>
      </w:tr>
    </w:tbl>
    <w:p w14:paraId="72AE5A76" w14:textId="77777777" w:rsidR="0027050F" w:rsidRDefault="0027050F" w:rsidP="0027050F">
      <w:pPr>
        <w:jc w:val="center"/>
        <w:rPr>
          <w:rFonts w:ascii="Times New Roman" w:hAnsi="Times New Roman"/>
        </w:rPr>
      </w:pPr>
    </w:p>
    <w:p w14:paraId="25D153A9" w14:textId="77777777" w:rsidR="0027050F" w:rsidRDefault="00120E13" w:rsidP="00120E13">
      <w:pPr>
        <w:jc w:val="both"/>
        <w:rPr>
          <w:rFonts w:ascii="Times New Roman" w:hAnsi="Times New Roman"/>
        </w:rPr>
      </w:pPr>
      <w:r>
        <w:rPr>
          <w:rFonts w:ascii="Times New Roman" w:hAnsi="Times New Roman"/>
          <w:b/>
        </w:rPr>
        <w:lastRenderedPageBreak/>
        <w:t xml:space="preserve">IV. </w:t>
      </w:r>
      <w:r>
        <w:rPr>
          <w:rFonts w:ascii="Times New Roman" w:hAnsi="Times New Roman"/>
        </w:rPr>
        <w:t xml:space="preserve">An extra analysis of the August 13 image was done to observe the differences due to manually labeling different nanoparticle, but still using the same ‘Object Feature Selection’ criteria. </w:t>
      </w:r>
    </w:p>
    <w:tbl>
      <w:tblPr>
        <w:tblW w:w="2600" w:type="dxa"/>
        <w:jc w:val="center"/>
        <w:tblInd w:w="93" w:type="dxa"/>
        <w:tblLook w:val="04A0" w:firstRow="1" w:lastRow="0" w:firstColumn="1" w:lastColumn="0" w:noHBand="0" w:noVBand="1"/>
      </w:tblPr>
      <w:tblGrid>
        <w:gridCol w:w="1382"/>
        <w:gridCol w:w="1218"/>
      </w:tblGrid>
      <w:tr w:rsidR="00120E13" w:rsidRPr="00120E13" w14:paraId="47160394" w14:textId="77777777" w:rsidTr="00120E13">
        <w:trPr>
          <w:trHeight w:val="300"/>
          <w:jc w:val="center"/>
        </w:trPr>
        <w:tc>
          <w:tcPr>
            <w:tcW w:w="26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A83385C" w14:textId="77777777" w:rsidR="00120E13" w:rsidRPr="00120E13" w:rsidRDefault="00120E13" w:rsidP="00120E13">
            <w:pPr>
              <w:jc w:val="center"/>
              <w:rPr>
                <w:rFonts w:ascii="Times New Roman" w:eastAsia="Times New Roman" w:hAnsi="Times New Roman" w:cs="Times New Roman"/>
                <w:b/>
                <w:bCs/>
                <w:color w:val="000000"/>
              </w:rPr>
            </w:pPr>
            <w:r w:rsidRPr="00120E13">
              <w:rPr>
                <w:rFonts w:ascii="Times New Roman" w:eastAsia="Times New Roman" w:hAnsi="Times New Roman" w:cs="Times New Roman"/>
                <w:b/>
                <w:bCs/>
                <w:color w:val="000000"/>
              </w:rPr>
              <w:t>Aug 13 CRR (extra)</w:t>
            </w:r>
          </w:p>
        </w:tc>
      </w:tr>
      <w:tr w:rsidR="00120E13" w:rsidRPr="00120E13" w14:paraId="1037426B" w14:textId="77777777" w:rsidTr="00120E13">
        <w:trPr>
          <w:trHeight w:val="300"/>
          <w:jc w:val="center"/>
        </w:trPr>
        <w:tc>
          <w:tcPr>
            <w:tcW w:w="1382" w:type="dxa"/>
            <w:tcBorders>
              <w:top w:val="nil"/>
              <w:left w:val="single" w:sz="4" w:space="0" w:color="auto"/>
              <w:bottom w:val="nil"/>
              <w:right w:val="single" w:sz="4" w:space="0" w:color="auto"/>
            </w:tcBorders>
            <w:shd w:val="clear" w:color="auto" w:fill="auto"/>
            <w:noWrap/>
            <w:vAlign w:val="bottom"/>
            <w:hideMark/>
          </w:tcPr>
          <w:p w14:paraId="32941CA8"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 xml:space="preserve">Single </w:t>
            </w:r>
          </w:p>
        </w:tc>
        <w:tc>
          <w:tcPr>
            <w:tcW w:w="1218" w:type="dxa"/>
            <w:tcBorders>
              <w:top w:val="nil"/>
              <w:left w:val="nil"/>
              <w:bottom w:val="nil"/>
              <w:right w:val="single" w:sz="4" w:space="0" w:color="auto"/>
            </w:tcBorders>
            <w:shd w:val="clear" w:color="000000" w:fill="D9D9D9"/>
            <w:noWrap/>
            <w:vAlign w:val="bottom"/>
            <w:hideMark/>
          </w:tcPr>
          <w:p w14:paraId="771C3557"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69.8%</w:t>
            </w:r>
          </w:p>
        </w:tc>
      </w:tr>
      <w:tr w:rsidR="00120E13" w:rsidRPr="00120E13" w14:paraId="3333BCD3" w14:textId="77777777" w:rsidTr="00120E13">
        <w:trPr>
          <w:trHeight w:val="300"/>
          <w:jc w:val="center"/>
        </w:trPr>
        <w:tc>
          <w:tcPr>
            <w:tcW w:w="1382" w:type="dxa"/>
            <w:tcBorders>
              <w:top w:val="nil"/>
              <w:left w:val="single" w:sz="4" w:space="0" w:color="auto"/>
              <w:bottom w:val="nil"/>
              <w:right w:val="single" w:sz="4" w:space="0" w:color="auto"/>
            </w:tcBorders>
            <w:shd w:val="clear" w:color="auto" w:fill="auto"/>
            <w:noWrap/>
            <w:vAlign w:val="bottom"/>
            <w:hideMark/>
          </w:tcPr>
          <w:p w14:paraId="32FBC76E"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Double</w:t>
            </w:r>
          </w:p>
        </w:tc>
        <w:tc>
          <w:tcPr>
            <w:tcW w:w="1218" w:type="dxa"/>
            <w:tcBorders>
              <w:top w:val="nil"/>
              <w:left w:val="nil"/>
              <w:bottom w:val="nil"/>
              <w:right w:val="single" w:sz="4" w:space="0" w:color="auto"/>
            </w:tcBorders>
            <w:shd w:val="clear" w:color="auto" w:fill="auto"/>
            <w:noWrap/>
            <w:vAlign w:val="bottom"/>
            <w:hideMark/>
          </w:tcPr>
          <w:p w14:paraId="001EA886"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14.6%</w:t>
            </w:r>
          </w:p>
        </w:tc>
      </w:tr>
      <w:tr w:rsidR="00120E13" w:rsidRPr="00120E13" w14:paraId="71069F3C" w14:textId="77777777" w:rsidTr="00120E13">
        <w:trPr>
          <w:trHeight w:val="300"/>
          <w:jc w:val="center"/>
        </w:trPr>
        <w:tc>
          <w:tcPr>
            <w:tcW w:w="1382" w:type="dxa"/>
            <w:tcBorders>
              <w:top w:val="nil"/>
              <w:left w:val="single" w:sz="4" w:space="0" w:color="auto"/>
              <w:bottom w:val="nil"/>
              <w:right w:val="single" w:sz="4" w:space="0" w:color="auto"/>
            </w:tcBorders>
            <w:shd w:val="clear" w:color="auto" w:fill="auto"/>
            <w:noWrap/>
            <w:vAlign w:val="bottom"/>
            <w:hideMark/>
          </w:tcPr>
          <w:p w14:paraId="62DFC192"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Flats</w:t>
            </w:r>
          </w:p>
        </w:tc>
        <w:tc>
          <w:tcPr>
            <w:tcW w:w="1218" w:type="dxa"/>
            <w:tcBorders>
              <w:top w:val="nil"/>
              <w:left w:val="nil"/>
              <w:bottom w:val="nil"/>
              <w:right w:val="single" w:sz="4" w:space="0" w:color="auto"/>
            </w:tcBorders>
            <w:shd w:val="clear" w:color="000000" w:fill="D9D9D9"/>
            <w:noWrap/>
            <w:vAlign w:val="bottom"/>
            <w:hideMark/>
          </w:tcPr>
          <w:p w14:paraId="3D11DAE0"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14.2%</w:t>
            </w:r>
          </w:p>
        </w:tc>
      </w:tr>
      <w:tr w:rsidR="00120E13" w:rsidRPr="00120E13" w14:paraId="37859B05" w14:textId="77777777" w:rsidTr="00120E13">
        <w:trPr>
          <w:trHeight w:val="300"/>
          <w:jc w:val="center"/>
        </w:trPr>
        <w:tc>
          <w:tcPr>
            <w:tcW w:w="1382" w:type="dxa"/>
            <w:tcBorders>
              <w:top w:val="nil"/>
              <w:left w:val="single" w:sz="4" w:space="0" w:color="auto"/>
              <w:bottom w:val="single" w:sz="4" w:space="0" w:color="auto"/>
              <w:right w:val="single" w:sz="4" w:space="0" w:color="auto"/>
            </w:tcBorders>
            <w:shd w:val="clear" w:color="auto" w:fill="auto"/>
            <w:noWrap/>
            <w:vAlign w:val="bottom"/>
            <w:hideMark/>
          </w:tcPr>
          <w:p w14:paraId="2617B52A"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Cluster</w:t>
            </w:r>
          </w:p>
        </w:tc>
        <w:tc>
          <w:tcPr>
            <w:tcW w:w="1218" w:type="dxa"/>
            <w:tcBorders>
              <w:top w:val="nil"/>
              <w:left w:val="nil"/>
              <w:bottom w:val="single" w:sz="4" w:space="0" w:color="auto"/>
              <w:right w:val="single" w:sz="4" w:space="0" w:color="auto"/>
            </w:tcBorders>
            <w:shd w:val="clear" w:color="auto" w:fill="auto"/>
            <w:noWrap/>
            <w:vAlign w:val="bottom"/>
            <w:hideMark/>
          </w:tcPr>
          <w:p w14:paraId="768DC32D"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1.4%</w:t>
            </w:r>
          </w:p>
        </w:tc>
      </w:tr>
    </w:tbl>
    <w:p w14:paraId="1B98EA75" w14:textId="77777777" w:rsidR="00120E13" w:rsidRDefault="00120E13" w:rsidP="00120E13">
      <w:pPr>
        <w:jc w:val="center"/>
        <w:rPr>
          <w:rFonts w:ascii="Times New Roman" w:hAnsi="Times New Roman"/>
        </w:rPr>
      </w:pPr>
    </w:p>
    <w:p w14:paraId="54674399" w14:textId="0347BD16" w:rsidR="00120E13" w:rsidRPr="008B1043" w:rsidRDefault="00120E13" w:rsidP="00120E13">
      <w:pPr>
        <w:rPr>
          <w:rFonts w:ascii="Times New Roman" w:hAnsi="Times New Roman"/>
        </w:rPr>
      </w:pPr>
      <w:r>
        <w:rPr>
          <w:rFonts w:ascii="Times New Roman" w:hAnsi="Times New Roman"/>
          <w:b/>
        </w:rPr>
        <w:t xml:space="preserve">V. </w:t>
      </w:r>
      <w:r>
        <w:rPr>
          <w:rFonts w:ascii="Times New Roman" w:hAnsi="Times New Roman"/>
        </w:rPr>
        <w:t xml:space="preserve">An analysis was also </w:t>
      </w:r>
      <w:proofErr w:type="gramStart"/>
      <w:r>
        <w:rPr>
          <w:rFonts w:ascii="Times New Roman" w:hAnsi="Times New Roman"/>
        </w:rPr>
        <w:t>ran</w:t>
      </w:r>
      <w:proofErr w:type="gramEnd"/>
      <w:r>
        <w:rPr>
          <w:rFonts w:ascii="Times New Roman" w:hAnsi="Times New Roman"/>
        </w:rPr>
        <w:t xml:space="preserve"> of the August 13 image using skewness, count, and region radii for the ‘O</w:t>
      </w:r>
      <w:r w:rsidR="00825D1D">
        <w:rPr>
          <w:rFonts w:ascii="Times New Roman" w:hAnsi="Times New Roman"/>
        </w:rPr>
        <w:t>b</w:t>
      </w:r>
      <w:r>
        <w:rPr>
          <w:rFonts w:ascii="Times New Roman" w:hAnsi="Times New Roman"/>
        </w:rPr>
        <w:t>ject Feature Selection’ criteria.</w:t>
      </w:r>
      <w:r w:rsidR="008B1043">
        <w:rPr>
          <w:rFonts w:ascii="Times New Roman" w:hAnsi="Times New Roman"/>
        </w:rPr>
        <w:t xml:space="preserve"> This analysis used the </w:t>
      </w:r>
      <w:r w:rsidR="008B1043">
        <w:rPr>
          <w:rFonts w:ascii="Times New Roman" w:hAnsi="Times New Roman"/>
          <w:b/>
        </w:rPr>
        <w:t>exact same particle labels</w:t>
      </w:r>
      <w:r w:rsidR="008B1043">
        <w:rPr>
          <w:rFonts w:ascii="Times New Roman" w:hAnsi="Times New Roman"/>
        </w:rPr>
        <w:t xml:space="preserve"> that gave the results for August 13 in table </w:t>
      </w:r>
      <w:r w:rsidR="008B1043">
        <w:rPr>
          <w:rFonts w:ascii="Times New Roman" w:hAnsi="Times New Roman"/>
          <w:b/>
        </w:rPr>
        <w:t>III</w:t>
      </w:r>
      <w:r w:rsidR="008B1043">
        <w:rPr>
          <w:rFonts w:ascii="Times New Roman" w:hAnsi="Times New Roman"/>
        </w:rPr>
        <w:t>.</w:t>
      </w:r>
    </w:p>
    <w:p w14:paraId="18992E29" w14:textId="77777777" w:rsidR="00120E13" w:rsidRDefault="00120E13" w:rsidP="00120E13">
      <w:pPr>
        <w:rPr>
          <w:rFonts w:ascii="Times New Roman" w:hAnsi="Times New Roman"/>
        </w:rPr>
      </w:pPr>
    </w:p>
    <w:tbl>
      <w:tblPr>
        <w:tblW w:w="2600" w:type="dxa"/>
        <w:jc w:val="center"/>
        <w:tblInd w:w="93" w:type="dxa"/>
        <w:tblLook w:val="04A0" w:firstRow="1" w:lastRow="0" w:firstColumn="1" w:lastColumn="0" w:noHBand="0" w:noVBand="1"/>
      </w:tblPr>
      <w:tblGrid>
        <w:gridCol w:w="1382"/>
        <w:gridCol w:w="1218"/>
      </w:tblGrid>
      <w:tr w:rsidR="00120E13" w:rsidRPr="00120E13" w14:paraId="75DA08B5" w14:textId="77777777" w:rsidTr="00120E13">
        <w:trPr>
          <w:trHeight w:val="300"/>
          <w:jc w:val="center"/>
        </w:trPr>
        <w:tc>
          <w:tcPr>
            <w:tcW w:w="26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78C8BBF" w14:textId="77777777" w:rsidR="00120E13" w:rsidRPr="00120E13" w:rsidRDefault="00120E13" w:rsidP="00120E13">
            <w:pPr>
              <w:jc w:val="center"/>
              <w:rPr>
                <w:rFonts w:ascii="Times New Roman" w:eastAsia="Times New Roman" w:hAnsi="Times New Roman" w:cs="Times New Roman"/>
                <w:b/>
                <w:bCs/>
                <w:color w:val="000000"/>
              </w:rPr>
            </w:pPr>
            <w:r w:rsidRPr="00120E13">
              <w:rPr>
                <w:rFonts w:ascii="Times New Roman" w:eastAsia="Times New Roman" w:hAnsi="Times New Roman" w:cs="Times New Roman"/>
                <w:b/>
                <w:bCs/>
                <w:color w:val="000000"/>
              </w:rPr>
              <w:t>Aug 13 SCRR</w:t>
            </w:r>
          </w:p>
        </w:tc>
      </w:tr>
      <w:tr w:rsidR="00120E13" w:rsidRPr="00120E13" w14:paraId="12C51116" w14:textId="77777777" w:rsidTr="00120E13">
        <w:trPr>
          <w:trHeight w:val="300"/>
          <w:jc w:val="center"/>
        </w:trPr>
        <w:tc>
          <w:tcPr>
            <w:tcW w:w="1382" w:type="dxa"/>
            <w:tcBorders>
              <w:top w:val="nil"/>
              <w:left w:val="single" w:sz="4" w:space="0" w:color="auto"/>
              <w:bottom w:val="nil"/>
              <w:right w:val="single" w:sz="4" w:space="0" w:color="auto"/>
            </w:tcBorders>
            <w:shd w:val="clear" w:color="auto" w:fill="auto"/>
            <w:noWrap/>
            <w:vAlign w:val="bottom"/>
            <w:hideMark/>
          </w:tcPr>
          <w:p w14:paraId="488CFE4A"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Single</w:t>
            </w:r>
          </w:p>
        </w:tc>
        <w:tc>
          <w:tcPr>
            <w:tcW w:w="1218" w:type="dxa"/>
            <w:tcBorders>
              <w:top w:val="nil"/>
              <w:left w:val="nil"/>
              <w:bottom w:val="nil"/>
              <w:right w:val="single" w:sz="4" w:space="0" w:color="auto"/>
            </w:tcBorders>
            <w:shd w:val="clear" w:color="000000" w:fill="D9D9D9"/>
            <w:noWrap/>
            <w:vAlign w:val="bottom"/>
            <w:hideMark/>
          </w:tcPr>
          <w:p w14:paraId="64044482"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69.9%</w:t>
            </w:r>
          </w:p>
        </w:tc>
      </w:tr>
      <w:tr w:rsidR="00120E13" w:rsidRPr="00120E13" w14:paraId="490436A1" w14:textId="77777777" w:rsidTr="00120E13">
        <w:trPr>
          <w:trHeight w:val="300"/>
          <w:jc w:val="center"/>
        </w:trPr>
        <w:tc>
          <w:tcPr>
            <w:tcW w:w="1382" w:type="dxa"/>
            <w:tcBorders>
              <w:top w:val="nil"/>
              <w:left w:val="single" w:sz="4" w:space="0" w:color="auto"/>
              <w:bottom w:val="nil"/>
              <w:right w:val="single" w:sz="4" w:space="0" w:color="auto"/>
            </w:tcBorders>
            <w:shd w:val="clear" w:color="auto" w:fill="auto"/>
            <w:noWrap/>
            <w:vAlign w:val="bottom"/>
            <w:hideMark/>
          </w:tcPr>
          <w:p w14:paraId="2D2D3503"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Double</w:t>
            </w:r>
          </w:p>
        </w:tc>
        <w:tc>
          <w:tcPr>
            <w:tcW w:w="1218" w:type="dxa"/>
            <w:tcBorders>
              <w:top w:val="nil"/>
              <w:left w:val="nil"/>
              <w:bottom w:val="nil"/>
              <w:right w:val="single" w:sz="4" w:space="0" w:color="auto"/>
            </w:tcBorders>
            <w:shd w:val="clear" w:color="auto" w:fill="auto"/>
            <w:noWrap/>
            <w:vAlign w:val="bottom"/>
            <w:hideMark/>
          </w:tcPr>
          <w:p w14:paraId="3A577A86"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20.7%</w:t>
            </w:r>
          </w:p>
        </w:tc>
      </w:tr>
      <w:tr w:rsidR="00120E13" w:rsidRPr="00120E13" w14:paraId="4BF00B6F" w14:textId="77777777" w:rsidTr="00120E13">
        <w:trPr>
          <w:trHeight w:val="300"/>
          <w:jc w:val="center"/>
        </w:trPr>
        <w:tc>
          <w:tcPr>
            <w:tcW w:w="1382" w:type="dxa"/>
            <w:tcBorders>
              <w:top w:val="nil"/>
              <w:left w:val="single" w:sz="4" w:space="0" w:color="auto"/>
              <w:bottom w:val="nil"/>
              <w:right w:val="single" w:sz="4" w:space="0" w:color="auto"/>
            </w:tcBorders>
            <w:shd w:val="clear" w:color="auto" w:fill="auto"/>
            <w:noWrap/>
            <w:vAlign w:val="bottom"/>
            <w:hideMark/>
          </w:tcPr>
          <w:p w14:paraId="41B0910F"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Flats</w:t>
            </w:r>
          </w:p>
        </w:tc>
        <w:tc>
          <w:tcPr>
            <w:tcW w:w="1218" w:type="dxa"/>
            <w:tcBorders>
              <w:top w:val="nil"/>
              <w:left w:val="nil"/>
              <w:bottom w:val="nil"/>
              <w:right w:val="single" w:sz="4" w:space="0" w:color="auto"/>
            </w:tcBorders>
            <w:shd w:val="clear" w:color="000000" w:fill="D9D9D9"/>
            <w:noWrap/>
            <w:vAlign w:val="bottom"/>
            <w:hideMark/>
          </w:tcPr>
          <w:p w14:paraId="2DB9CCBC"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8.6%</w:t>
            </w:r>
          </w:p>
        </w:tc>
      </w:tr>
      <w:tr w:rsidR="00120E13" w:rsidRPr="00120E13" w14:paraId="4C0F50D8" w14:textId="77777777" w:rsidTr="00120E13">
        <w:trPr>
          <w:trHeight w:val="300"/>
          <w:jc w:val="center"/>
        </w:trPr>
        <w:tc>
          <w:tcPr>
            <w:tcW w:w="1382" w:type="dxa"/>
            <w:tcBorders>
              <w:top w:val="nil"/>
              <w:left w:val="single" w:sz="4" w:space="0" w:color="auto"/>
              <w:bottom w:val="single" w:sz="4" w:space="0" w:color="auto"/>
              <w:right w:val="single" w:sz="4" w:space="0" w:color="auto"/>
            </w:tcBorders>
            <w:shd w:val="clear" w:color="auto" w:fill="auto"/>
            <w:noWrap/>
            <w:vAlign w:val="bottom"/>
            <w:hideMark/>
          </w:tcPr>
          <w:p w14:paraId="52F37192"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Cluster</w:t>
            </w:r>
          </w:p>
        </w:tc>
        <w:tc>
          <w:tcPr>
            <w:tcW w:w="1218" w:type="dxa"/>
            <w:tcBorders>
              <w:top w:val="nil"/>
              <w:left w:val="nil"/>
              <w:bottom w:val="single" w:sz="4" w:space="0" w:color="auto"/>
              <w:right w:val="single" w:sz="4" w:space="0" w:color="auto"/>
            </w:tcBorders>
            <w:shd w:val="clear" w:color="auto" w:fill="auto"/>
            <w:noWrap/>
            <w:vAlign w:val="bottom"/>
            <w:hideMark/>
          </w:tcPr>
          <w:p w14:paraId="6058DC7B" w14:textId="77777777" w:rsidR="00120E13" w:rsidRPr="00120E13" w:rsidRDefault="00120E13" w:rsidP="00120E13">
            <w:pPr>
              <w:jc w:val="center"/>
              <w:rPr>
                <w:rFonts w:ascii="Times New Roman" w:eastAsia="Times New Roman" w:hAnsi="Times New Roman" w:cs="Times New Roman"/>
                <w:color w:val="000000"/>
              </w:rPr>
            </w:pPr>
            <w:r w:rsidRPr="00120E13">
              <w:rPr>
                <w:rFonts w:ascii="Times New Roman" w:eastAsia="Times New Roman" w:hAnsi="Times New Roman" w:cs="Times New Roman"/>
                <w:color w:val="000000"/>
              </w:rPr>
              <w:t>0.9%</w:t>
            </w:r>
          </w:p>
        </w:tc>
      </w:tr>
    </w:tbl>
    <w:p w14:paraId="029D5978" w14:textId="77777777" w:rsidR="00120E13" w:rsidRDefault="00120E13" w:rsidP="00120E13">
      <w:pPr>
        <w:jc w:val="center"/>
        <w:rPr>
          <w:rFonts w:ascii="Times New Roman" w:hAnsi="Times New Roman"/>
        </w:rPr>
      </w:pPr>
    </w:p>
    <w:p w14:paraId="509B9AFF" w14:textId="77777777" w:rsidR="005A43EB" w:rsidRDefault="005A43EB" w:rsidP="00120E13">
      <w:pPr>
        <w:jc w:val="center"/>
        <w:rPr>
          <w:rFonts w:ascii="Times New Roman" w:hAnsi="Times New Roman"/>
        </w:rPr>
      </w:pPr>
    </w:p>
    <w:p w14:paraId="7C961BE0" w14:textId="5DF895F7" w:rsidR="005A43EB" w:rsidRDefault="005A43EB" w:rsidP="005A43EB">
      <w:pPr>
        <w:rPr>
          <w:rFonts w:ascii="Times New Roman" w:hAnsi="Times New Roman"/>
        </w:rPr>
      </w:pPr>
      <w:r>
        <w:rPr>
          <w:rFonts w:ascii="Times New Roman" w:hAnsi="Times New Roman"/>
          <w:b/>
        </w:rPr>
        <w:t xml:space="preserve">VI. </w:t>
      </w:r>
      <w:r>
        <w:rPr>
          <w:rFonts w:ascii="Times New Roman" w:hAnsi="Times New Roman"/>
        </w:rPr>
        <w:t>Summary of the difference between methods.</w:t>
      </w:r>
      <w:bookmarkStart w:id="0" w:name="_GoBack"/>
      <w:bookmarkEnd w:id="0"/>
    </w:p>
    <w:p w14:paraId="3BDC240C" w14:textId="77777777" w:rsidR="009D5E2C" w:rsidRPr="005A43EB" w:rsidRDefault="009D5E2C" w:rsidP="005A43EB">
      <w:pPr>
        <w:rPr>
          <w:rFonts w:ascii="Times New Roman" w:hAnsi="Times New Roman"/>
        </w:rPr>
      </w:pPr>
    </w:p>
    <w:tbl>
      <w:tblPr>
        <w:tblW w:w="6500" w:type="dxa"/>
        <w:jc w:val="center"/>
        <w:tblInd w:w="93" w:type="dxa"/>
        <w:tblLook w:val="04A0" w:firstRow="1" w:lastRow="0" w:firstColumn="1" w:lastColumn="0" w:noHBand="0" w:noVBand="1"/>
      </w:tblPr>
      <w:tblGrid>
        <w:gridCol w:w="1300"/>
        <w:gridCol w:w="1300"/>
        <w:gridCol w:w="1300"/>
        <w:gridCol w:w="1300"/>
        <w:gridCol w:w="1300"/>
      </w:tblGrid>
      <w:tr w:rsidR="009D5E2C" w14:paraId="62AD2A1E" w14:textId="77777777" w:rsidTr="009D5E2C">
        <w:trPr>
          <w:trHeight w:val="309"/>
          <w:jc w:val="center"/>
        </w:trPr>
        <w:tc>
          <w:tcPr>
            <w:tcW w:w="650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E411AC7" w14:textId="77777777" w:rsidR="009D5E2C" w:rsidRDefault="009D5E2C">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Method Comparison Aug 13</w:t>
            </w:r>
          </w:p>
        </w:tc>
      </w:tr>
      <w:tr w:rsidR="009D5E2C" w14:paraId="23D8BDC8" w14:textId="77777777" w:rsidTr="009D5E2C">
        <w:trPr>
          <w:trHeight w:val="1234"/>
          <w:jc w:val="center"/>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2835BB55"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Type</w:t>
            </w:r>
          </w:p>
        </w:tc>
        <w:tc>
          <w:tcPr>
            <w:tcW w:w="1300" w:type="dxa"/>
            <w:tcBorders>
              <w:top w:val="nil"/>
              <w:left w:val="nil"/>
              <w:bottom w:val="single" w:sz="4" w:space="0" w:color="auto"/>
              <w:right w:val="single" w:sz="4" w:space="0" w:color="auto"/>
            </w:tcBorders>
            <w:shd w:val="clear" w:color="auto" w:fill="auto"/>
            <w:vAlign w:val="center"/>
            <w:hideMark/>
          </w:tcPr>
          <w:p w14:paraId="30607E14"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Different Feature, Same Label</w:t>
            </w:r>
          </w:p>
        </w:tc>
        <w:tc>
          <w:tcPr>
            <w:tcW w:w="1300" w:type="dxa"/>
            <w:tcBorders>
              <w:top w:val="nil"/>
              <w:left w:val="nil"/>
              <w:bottom w:val="single" w:sz="4" w:space="0" w:color="auto"/>
              <w:right w:val="single" w:sz="4" w:space="0" w:color="auto"/>
            </w:tcBorders>
            <w:shd w:val="clear" w:color="auto" w:fill="auto"/>
            <w:vAlign w:val="center"/>
            <w:hideMark/>
          </w:tcPr>
          <w:p w14:paraId="00D182B6"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Same Feature, </w:t>
            </w:r>
            <w:proofErr w:type="spellStart"/>
            <w:r>
              <w:rPr>
                <w:rFonts w:ascii="Times New Roman" w:eastAsia="Times New Roman" w:hAnsi="Times New Roman" w:cs="Times New Roman"/>
                <w:color w:val="000000"/>
              </w:rPr>
              <w:t>Differenet</w:t>
            </w:r>
            <w:proofErr w:type="spellEnd"/>
            <w:r>
              <w:rPr>
                <w:rFonts w:ascii="Times New Roman" w:eastAsia="Times New Roman" w:hAnsi="Times New Roman" w:cs="Times New Roman"/>
                <w:color w:val="000000"/>
              </w:rPr>
              <w:t xml:space="preserve"> Label</w:t>
            </w:r>
          </w:p>
        </w:tc>
        <w:tc>
          <w:tcPr>
            <w:tcW w:w="1300" w:type="dxa"/>
            <w:tcBorders>
              <w:top w:val="nil"/>
              <w:left w:val="nil"/>
              <w:bottom w:val="single" w:sz="4" w:space="0" w:color="auto"/>
              <w:right w:val="single" w:sz="4" w:space="0" w:color="auto"/>
            </w:tcBorders>
            <w:shd w:val="clear" w:color="auto" w:fill="auto"/>
            <w:vAlign w:val="center"/>
            <w:hideMark/>
          </w:tcPr>
          <w:p w14:paraId="00903180"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Ilastik vs. Old Method Aug 13</w:t>
            </w:r>
          </w:p>
        </w:tc>
        <w:tc>
          <w:tcPr>
            <w:tcW w:w="1300" w:type="dxa"/>
            <w:tcBorders>
              <w:top w:val="nil"/>
              <w:left w:val="nil"/>
              <w:bottom w:val="single" w:sz="4" w:space="0" w:color="auto"/>
              <w:right w:val="single" w:sz="4" w:space="0" w:color="auto"/>
            </w:tcBorders>
            <w:shd w:val="clear" w:color="auto" w:fill="auto"/>
            <w:vAlign w:val="center"/>
            <w:hideMark/>
          </w:tcPr>
          <w:p w14:paraId="36C7A384"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Ilastik vs. Old Method Sep 5</w:t>
            </w:r>
          </w:p>
        </w:tc>
      </w:tr>
      <w:tr w:rsidR="009D5E2C" w14:paraId="2EBADB75" w14:textId="77777777" w:rsidTr="009D5E2C">
        <w:trPr>
          <w:trHeight w:val="309"/>
          <w:jc w:val="center"/>
        </w:trPr>
        <w:tc>
          <w:tcPr>
            <w:tcW w:w="1300" w:type="dxa"/>
            <w:tcBorders>
              <w:top w:val="nil"/>
              <w:left w:val="single" w:sz="4" w:space="0" w:color="auto"/>
              <w:bottom w:val="nil"/>
              <w:right w:val="nil"/>
            </w:tcBorders>
            <w:shd w:val="clear" w:color="000000" w:fill="D9D9D9"/>
            <w:noWrap/>
            <w:vAlign w:val="center"/>
            <w:hideMark/>
          </w:tcPr>
          <w:p w14:paraId="4CF55D13"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Single</w:t>
            </w:r>
          </w:p>
        </w:tc>
        <w:tc>
          <w:tcPr>
            <w:tcW w:w="1300" w:type="dxa"/>
            <w:tcBorders>
              <w:top w:val="nil"/>
              <w:left w:val="single" w:sz="4" w:space="0" w:color="auto"/>
              <w:bottom w:val="nil"/>
              <w:right w:val="single" w:sz="4" w:space="0" w:color="auto"/>
            </w:tcBorders>
            <w:shd w:val="clear" w:color="000000" w:fill="D9D9D9"/>
            <w:noWrap/>
            <w:vAlign w:val="center"/>
            <w:hideMark/>
          </w:tcPr>
          <w:p w14:paraId="7C007D50"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c>
          <w:tcPr>
            <w:tcW w:w="1300" w:type="dxa"/>
            <w:tcBorders>
              <w:top w:val="nil"/>
              <w:left w:val="nil"/>
              <w:bottom w:val="nil"/>
              <w:right w:val="single" w:sz="4" w:space="0" w:color="auto"/>
            </w:tcBorders>
            <w:shd w:val="clear" w:color="000000" w:fill="D9D9D9"/>
            <w:noWrap/>
            <w:vAlign w:val="center"/>
            <w:hideMark/>
          </w:tcPr>
          <w:p w14:paraId="39D456FB"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c>
          <w:tcPr>
            <w:tcW w:w="1300" w:type="dxa"/>
            <w:tcBorders>
              <w:top w:val="nil"/>
              <w:left w:val="nil"/>
              <w:bottom w:val="nil"/>
              <w:right w:val="single" w:sz="4" w:space="0" w:color="auto"/>
            </w:tcBorders>
            <w:shd w:val="clear" w:color="000000" w:fill="D9D9D9"/>
            <w:noWrap/>
            <w:vAlign w:val="center"/>
            <w:hideMark/>
          </w:tcPr>
          <w:p w14:paraId="2219AAD6"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5.75%</w:t>
            </w:r>
          </w:p>
        </w:tc>
        <w:tc>
          <w:tcPr>
            <w:tcW w:w="1300" w:type="dxa"/>
            <w:tcBorders>
              <w:top w:val="nil"/>
              <w:left w:val="nil"/>
              <w:bottom w:val="nil"/>
              <w:right w:val="single" w:sz="4" w:space="0" w:color="auto"/>
            </w:tcBorders>
            <w:shd w:val="clear" w:color="000000" w:fill="D9D9D9"/>
            <w:noWrap/>
            <w:vAlign w:val="center"/>
            <w:hideMark/>
          </w:tcPr>
          <w:p w14:paraId="4DBB8A70"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5.60%</w:t>
            </w:r>
          </w:p>
        </w:tc>
      </w:tr>
      <w:tr w:rsidR="009D5E2C" w14:paraId="253B6C7A" w14:textId="77777777" w:rsidTr="009D5E2C">
        <w:trPr>
          <w:trHeight w:val="309"/>
          <w:jc w:val="center"/>
        </w:trPr>
        <w:tc>
          <w:tcPr>
            <w:tcW w:w="1300" w:type="dxa"/>
            <w:tcBorders>
              <w:top w:val="nil"/>
              <w:left w:val="single" w:sz="4" w:space="0" w:color="auto"/>
              <w:bottom w:val="nil"/>
              <w:right w:val="nil"/>
            </w:tcBorders>
            <w:shd w:val="clear" w:color="auto" w:fill="auto"/>
            <w:noWrap/>
            <w:vAlign w:val="center"/>
            <w:hideMark/>
          </w:tcPr>
          <w:p w14:paraId="5181D924"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Double</w:t>
            </w:r>
          </w:p>
        </w:tc>
        <w:tc>
          <w:tcPr>
            <w:tcW w:w="1300" w:type="dxa"/>
            <w:tcBorders>
              <w:top w:val="nil"/>
              <w:left w:val="single" w:sz="4" w:space="0" w:color="auto"/>
              <w:bottom w:val="nil"/>
              <w:right w:val="single" w:sz="4" w:space="0" w:color="auto"/>
            </w:tcBorders>
            <w:shd w:val="clear" w:color="auto" w:fill="auto"/>
            <w:noWrap/>
            <w:vAlign w:val="center"/>
            <w:hideMark/>
          </w:tcPr>
          <w:p w14:paraId="7D741869"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c>
          <w:tcPr>
            <w:tcW w:w="1300" w:type="dxa"/>
            <w:tcBorders>
              <w:top w:val="nil"/>
              <w:left w:val="nil"/>
              <w:bottom w:val="nil"/>
              <w:right w:val="single" w:sz="4" w:space="0" w:color="auto"/>
            </w:tcBorders>
            <w:shd w:val="clear" w:color="auto" w:fill="auto"/>
            <w:noWrap/>
            <w:vAlign w:val="center"/>
            <w:hideMark/>
          </w:tcPr>
          <w:p w14:paraId="69D96848"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5.80%</w:t>
            </w:r>
          </w:p>
        </w:tc>
        <w:tc>
          <w:tcPr>
            <w:tcW w:w="1300" w:type="dxa"/>
            <w:tcBorders>
              <w:top w:val="nil"/>
              <w:left w:val="nil"/>
              <w:bottom w:val="nil"/>
              <w:right w:val="single" w:sz="4" w:space="0" w:color="auto"/>
            </w:tcBorders>
            <w:shd w:val="clear" w:color="auto" w:fill="auto"/>
            <w:noWrap/>
            <w:vAlign w:val="center"/>
            <w:hideMark/>
          </w:tcPr>
          <w:p w14:paraId="548280F9"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1.42%</w:t>
            </w:r>
          </w:p>
        </w:tc>
        <w:tc>
          <w:tcPr>
            <w:tcW w:w="1300" w:type="dxa"/>
            <w:tcBorders>
              <w:top w:val="nil"/>
              <w:left w:val="nil"/>
              <w:bottom w:val="nil"/>
              <w:right w:val="single" w:sz="4" w:space="0" w:color="auto"/>
            </w:tcBorders>
            <w:shd w:val="clear" w:color="auto" w:fill="auto"/>
            <w:noWrap/>
            <w:vAlign w:val="center"/>
            <w:hideMark/>
          </w:tcPr>
          <w:p w14:paraId="2D9AC319"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8.00%</w:t>
            </w:r>
          </w:p>
        </w:tc>
      </w:tr>
      <w:tr w:rsidR="009D5E2C" w14:paraId="34BE7F64" w14:textId="77777777" w:rsidTr="009D5E2C">
        <w:trPr>
          <w:trHeight w:val="309"/>
          <w:jc w:val="center"/>
        </w:trPr>
        <w:tc>
          <w:tcPr>
            <w:tcW w:w="1300" w:type="dxa"/>
            <w:tcBorders>
              <w:top w:val="nil"/>
              <w:left w:val="single" w:sz="4" w:space="0" w:color="auto"/>
              <w:bottom w:val="nil"/>
              <w:right w:val="nil"/>
            </w:tcBorders>
            <w:shd w:val="clear" w:color="000000" w:fill="D9D9D9"/>
            <w:noWrap/>
            <w:vAlign w:val="center"/>
            <w:hideMark/>
          </w:tcPr>
          <w:p w14:paraId="73BD485A"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Flat</w:t>
            </w:r>
          </w:p>
        </w:tc>
        <w:tc>
          <w:tcPr>
            <w:tcW w:w="1300" w:type="dxa"/>
            <w:tcBorders>
              <w:top w:val="nil"/>
              <w:left w:val="single" w:sz="4" w:space="0" w:color="auto"/>
              <w:bottom w:val="nil"/>
              <w:right w:val="single" w:sz="4" w:space="0" w:color="auto"/>
            </w:tcBorders>
            <w:shd w:val="clear" w:color="000000" w:fill="D9D9D9"/>
            <w:noWrap/>
            <w:vAlign w:val="center"/>
            <w:hideMark/>
          </w:tcPr>
          <w:p w14:paraId="3F8DA233"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c>
          <w:tcPr>
            <w:tcW w:w="1300" w:type="dxa"/>
            <w:tcBorders>
              <w:top w:val="nil"/>
              <w:left w:val="nil"/>
              <w:bottom w:val="nil"/>
              <w:right w:val="single" w:sz="4" w:space="0" w:color="auto"/>
            </w:tcBorders>
            <w:shd w:val="clear" w:color="000000" w:fill="D9D9D9"/>
            <w:noWrap/>
            <w:vAlign w:val="center"/>
            <w:hideMark/>
          </w:tcPr>
          <w:p w14:paraId="379461F5"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5.50%</w:t>
            </w:r>
          </w:p>
        </w:tc>
        <w:tc>
          <w:tcPr>
            <w:tcW w:w="1300" w:type="dxa"/>
            <w:tcBorders>
              <w:top w:val="nil"/>
              <w:left w:val="nil"/>
              <w:bottom w:val="nil"/>
              <w:right w:val="single" w:sz="4" w:space="0" w:color="auto"/>
            </w:tcBorders>
            <w:shd w:val="clear" w:color="000000" w:fill="D9D9D9"/>
            <w:noWrap/>
            <w:vAlign w:val="center"/>
            <w:hideMark/>
          </w:tcPr>
          <w:p w14:paraId="527ECF44"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3.50%</w:t>
            </w:r>
          </w:p>
        </w:tc>
        <w:tc>
          <w:tcPr>
            <w:tcW w:w="1300" w:type="dxa"/>
            <w:tcBorders>
              <w:top w:val="nil"/>
              <w:left w:val="nil"/>
              <w:bottom w:val="nil"/>
              <w:right w:val="single" w:sz="4" w:space="0" w:color="auto"/>
            </w:tcBorders>
            <w:shd w:val="clear" w:color="000000" w:fill="D9D9D9"/>
            <w:noWrap/>
            <w:vAlign w:val="center"/>
            <w:hideMark/>
          </w:tcPr>
          <w:p w14:paraId="65E246AE"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10.00%</w:t>
            </w:r>
          </w:p>
        </w:tc>
      </w:tr>
      <w:tr w:rsidR="009D5E2C" w14:paraId="54758780" w14:textId="77777777" w:rsidTr="009D5E2C">
        <w:trPr>
          <w:trHeight w:val="309"/>
          <w:jc w:val="center"/>
        </w:trPr>
        <w:tc>
          <w:tcPr>
            <w:tcW w:w="1300" w:type="dxa"/>
            <w:tcBorders>
              <w:top w:val="nil"/>
              <w:left w:val="single" w:sz="4" w:space="0" w:color="auto"/>
              <w:bottom w:val="single" w:sz="4" w:space="0" w:color="auto"/>
              <w:right w:val="nil"/>
            </w:tcBorders>
            <w:shd w:val="clear" w:color="auto" w:fill="auto"/>
            <w:noWrap/>
            <w:vAlign w:val="center"/>
            <w:hideMark/>
          </w:tcPr>
          <w:p w14:paraId="0B29F4AD"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Cluster</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39C400D"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c>
          <w:tcPr>
            <w:tcW w:w="1300" w:type="dxa"/>
            <w:tcBorders>
              <w:top w:val="nil"/>
              <w:left w:val="nil"/>
              <w:bottom w:val="single" w:sz="4" w:space="0" w:color="auto"/>
              <w:right w:val="single" w:sz="4" w:space="0" w:color="auto"/>
            </w:tcBorders>
            <w:shd w:val="clear" w:color="auto" w:fill="auto"/>
            <w:noWrap/>
            <w:vAlign w:val="center"/>
            <w:hideMark/>
          </w:tcPr>
          <w:p w14:paraId="7C521D31"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0.60%</w:t>
            </w:r>
          </w:p>
        </w:tc>
        <w:tc>
          <w:tcPr>
            <w:tcW w:w="1300" w:type="dxa"/>
            <w:tcBorders>
              <w:top w:val="nil"/>
              <w:left w:val="nil"/>
              <w:bottom w:val="single" w:sz="4" w:space="0" w:color="auto"/>
              <w:right w:val="single" w:sz="4" w:space="0" w:color="auto"/>
            </w:tcBorders>
            <w:shd w:val="clear" w:color="auto" w:fill="auto"/>
            <w:noWrap/>
            <w:vAlign w:val="center"/>
            <w:hideMark/>
          </w:tcPr>
          <w:p w14:paraId="7536E545"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0.72%</w:t>
            </w:r>
          </w:p>
        </w:tc>
        <w:tc>
          <w:tcPr>
            <w:tcW w:w="1300" w:type="dxa"/>
            <w:tcBorders>
              <w:top w:val="nil"/>
              <w:left w:val="nil"/>
              <w:bottom w:val="single" w:sz="4" w:space="0" w:color="auto"/>
              <w:right w:val="single" w:sz="4" w:space="0" w:color="auto"/>
            </w:tcBorders>
            <w:shd w:val="clear" w:color="auto" w:fill="auto"/>
            <w:noWrap/>
            <w:vAlign w:val="center"/>
            <w:hideMark/>
          </w:tcPr>
          <w:p w14:paraId="56068DAA" w14:textId="77777777" w:rsidR="009D5E2C" w:rsidRDefault="009D5E2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7.63%</w:t>
            </w:r>
          </w:p>
        </w:tc>
      </w:tr>
    </w:tbl>
    <w:p w14:paraId="25B84827" w14:textId="77777777" w:rsidR="005A43EB" w:rsidRDefault="005A43EB" w:rsidP="005A43EB">
      <w:pPr>
        <w:jc w:val="center"/>
        <w:rPr>
          <w:rFonts w:ascii="Times New Roman" w:hAnsi="Times New Roman"/>
          <w:b/>
        </w:rPr>
      </w:pPr>
    </w:p>
    <w:p w14:paraId="17A9AC98" w14:textId="77777777" w:rsidR="005A43EB" w:rsidRPr="005A43EB" w:rsidRDefault="005A43EB" w:rsidP="005A43EB">
      <w:pPr>
        <w:rPr>
          <w:rFonts w:ascii="Times New Roman" w:hAnsi="Times New Roman"/>
          <w:b/>
        </w:rPr>
      </w:pPr>
    </w:p>
    <w:p w14:paraId="697E12C1" w14:textId="77777777" w:rsidR="00120E13" w:rsidRDefault="00120E13" w:rsidP="00120E13">
      <w:pPr>
        <w:rPr>
          <w:rFonts w:ascii="Times New Roman" w:hAnsi="Times New Roman"/>
        </w:rPr>
      </w:pPr>
      <w:r>
        <w:rPr>
          <w:rFonts w:ascii="Times New Roman" w:hAnsi="Times New Roman"/>
          <w:b/>
        </w:rPr>
        <w:t xml:space="preserve">Notes: </w:t>
      </w:r>
      <w:r>
        <w:rPr>
          <w:rFonts w:ascii="Times New Roman" w:hAnsi="Times New Roman"/>
        </w:rPr>
        <w:t xml:space="preserve">It is apparent from table </w:t>
      </w:r>
      <w:r>
        <w:rPr>
          <w:rFonts w:ascii="Times New Roman" w:hAnsi="Times New Roman"/>
          <w:b/>
        </w:rPr>
        <w:t xml:space="preserve">II </w:t>
      </w:r>
      <w:r>
        <w:rPr>
          <w:rFonts w:ascii="Times New Roman" w:hAnsi="Times New Roman"/>
        </w:rPr>
        <w:t xml:space="preserve">and </w:t>
      </w:r>
      <w:r>
        <w:rPr>
          <w:rFonts w:ascii="Times New Roman" w:hAnsi="Times New Roman"/>
          <w:b/>
        </w:rPr>
        <w:t xml:space="preserve">IV </w:t>
      </w:r>
      <w:r w:rsidR="00825D1D">
        <w:rPr>
          <w:rFonts w:ascii="Times New Roman" w:hAnsi="Times New Roman"/>
        </w:rPr>
        <w:t xml:space="preserve">that there is a lot of variance in the results produced by Ilastik. The two labeled images from August 13 were created in the exact same manner except that the manual labeling of np’s was different. Further, this only produced significant effects on larger np’s, which is expected because the ‘Object feature Selection’ criteria (count and region radii) focus on the size and number of pixels in each np. Thus, such criteria can easily identify and predict singles, but may not be the best for our purposes of </w:t>
      </w:r>
      <w:r w:rsidR="005A1D02">
        <w:rPr>
          <w:rFonts w:ascii="Times New Roman" w:hAnsi="Times New Roman"/>
        </w:rPr>
        <w:t xml:space="preserve">also labeling doubles, </w:t>
      </w:r>
      <w:r w:rsidR="00825D1D">
        <w:rPr>
          <w:rFonts w:ascii="Times New Roman" w:hAnsi="Times New Roman"/>
        </w:rPr>
        <w:t>flats</w:t>
      </w:r>
      <w:r w:rsidR="005A1D02">
        <w:rPr>
          <w:rFonts w:ascii="Times New Roman" w:hAnsi="Times New Roman"/>
        </w:rPr>
        <w:t>,</w:t>
      </w:r>
      <w:r w:rsidR="00825D1D">
        <w:rPr>
          <w:rFonts w:ascii="Times New Roman" w:hAnsi="Times New Roman"/>
        </w:rPr>
        <w:t xml:space="preserve"> and clusters.</w:t>
      </w:r>
    </w:p>
    <w:p w14:paraId="24A25EDE" w14:textId="77777777" w:rsidR="00825D1D" w:rsidRDefault="00825D1D" w:rsidP="00120E13">
      <w:pPr>
        <w:rPr>
          <w:rFonts w:ascii="Times New Roman" w:hAnsi="Times New Roman"/>
        </w:rPr>
      </w:pPr>
    </w:p>
    <w:p w14:paraId="041E3295" w14:textId="77777777" w:rsidR="00825D1D" w:rsidRDefault="00825D1D" w:rsidP="00963ABB">
      <w:pPr>
        <w:rPr>
          <w:rFonts w:ascii="Times New Roman" w:hAnsi="Times New Roman"/>
        </w:rPr>
      </w:pPr>
      <w:r>
        <w:rPr>
          <w:rFonts w:ascii="Times New Roman" w:hAnsi="Times New Roman"/>
        </w:rPr>
        <w:t xml:space="preserve">Also </w:t>
      </w:r>
      <w:r w:rsidR="005A1D02">
        <w:rPr>
          <w:rFonts w:ascii="Times New Roman" w:hAnsi="Times New Roman"/>
        </w:rPr>
        <w:t xml:space="preserve">the quality of the image plays a major roll in the ability of Ilastik to predict labels for the np’s. The image from </w:t>
      </w:r>
      <w:r w:rsidR="005A1D02">
        <w:rPr>
          <w:rFonts w:ascii="Times New Roman" w:hAnsi="Times New Roman"/>
          <w:b/>
        </w:rPr>
        <w:t>August 13</w:t>
      </w:r>
      <w:r w:rsidR="005A1D02" w:rsidRPr="005A1D02">
        <w:rPr>
          <w:rFonts w:ascii="Times New Roman" w:hAnsi="Times New Roman"/>
          <w:b/>
          <w:vertAlign w:val="superscript"/>
        </w:rPr>
        <w:t>th</w:t>
      </w:r>
      <w:r w:rsidR="005A1D02">
        <w:rPr>
          <w:rFonts w:ascii="Times New Roman" w:hAnsi="Times New Roman"/>
        </w:rPr>
        <w:t xml:space="preserve"> was the best image, due to the high resolution, th</w:t>
      </w:r>
      <w:r w:rsidR="00EA327E">
        <w:rPr>
          <w:rFonts w:ascii="Times New Roman" w:hAnsi="Times New Roman"/>
        </w:rPr>
        <w:t xml:space="preserve">e larger spacing between np’s, </w:t>
      </w:r>
      <w:r w:rsidR="005A1D02">
        <w:rPr>
          <w:rFonts w:ascii="Times New Roman" w:hAnsi="Times New Roman"/>
        </w:rPr>
        <w:t xml:space="preserve">and the consistent shade of the background. The image from </w:t>
      </w:r>
      <w:r w:rsidR="005A1D02">
        <w:rPr>
          <w:rFonts w:ascii="Times New Roman" w:hAnsi="Times New Roman"/>
          <w:b/>
        </w:rPr>
        <w:t>September 5</w:t>
      </w:r>
      <w:r w:rsidR="005A1D02" w:rsidRPr="005A1D02">
        <w:rPr>
          <w:rFonts w:ascii="Times New Roman" w:hAnsi="Times New Roman"/>
          <w:b/>
          <w:vertAlign w:val="superscript"/>
        </w:rPr>
        <w:t>th</w:t>
      </w:r>
      <w:r w:rsidR="005A1D02">
        <w:rPr>
          <w:rFonts w:ascii="Times New Roman" w:hAnsi="Times New Roman"/>
          <w:b/>
        </w:rPr>
        <w:t xml:space="preserve">, </w:t>
      </w:r>
      <w:r w:rsidR="005A1D02">
        <w:rPr>
          <w:rFonts w:ascii="Times New Roman" w:hAnsi="Times New Roman"/>
        </w:rPr>
        <w:t>had</w:t>
      </w:r>
      <w:r w:rsidR="005B3D97">
        <w:rPr>
          <w:rFonts w:ascii="Times New Roman" w:hAnsi="Times New Roman"/>
        </w:rPr>
        <w:t xml:space="preserve"> poor resolution, little spacing</w:t>
      </w:r>
      <w:r w:rsidR="005A1D02">
        <w:rPr>
          <w:rFonts w:ascii="Times New Roman" w:hAnsi="Times New Roman"/>
        </w:rPr>
        <w:t xml:space="preserve">, and was dominated by large aggregates. The poor spacing resulted in many smaller particles being identified as parts of the large clusters. The image from </w:t>
      </w:r>
      <w:r w:rsidR="005A1D02">
        <w:rPr>
          <w:rFonts w:ascii="Times New Roman" w:hAnsi="Times New Roman"/>
          <w:b/>
        </w:rPr>
        <w:t>October 19</w:t>
      </w:r>
      <w:r w:rsidR="005A1D02" w:rsidRPr="005A1D02">
        <w:rPr>
          <w:rFonts w:ascii="Times New Roman" w:hAnsi="Times New Roman"/>
          <w:b/>
          <w:vertAlign w:val="superscript"/>
        </w:rPr>
        <w:t>th</w:t>
      </w:r>
      <w:r w:rsidR="005A1D02">
        <w:rPr>
          <w:rFonts w:ascii="Times New Roman" w:hAnsi="Times New Roman"/>
          <w:b/>
        </w:rPr>
        <w:t xml:space="preserve"> </w:t>
      </w:r>
      <w:r w:rsidR="005A1D02">
        <w:rPr>
          <w:rFonts w:ascii="Times New Roman" w:hAnsi="Times New Roman"/>
        </w:rPr>
        <w:t xml:space="preserve">was also difficult to work </w:t>
      </w:r>
      <w:proofErr w:type="gramStart"/>
      <w:r w:rsidR="005A1D02">
        <w:rPr>
          <w:rFonts w:ascii="Times New Roman" w:hAnsi="Times New Roman"/>
        </w:rPr>
        <w:t>with</w:t>
      </w:r>
      <w:proofErr w:type="gramEnd"/>
      <w:r w:rsidR="005A1D02">
        <w:rPr>
          <w:rFonts w:ascii="Times New Roman" w:hAnsi="Times New Roman"/>
        </w:rPr>
        <w:t xml:space="preserve"> as </w:t>
      </w:r>
      <w:r w:rsidR="005B3D97">
        <w:rPr>
          <w:rFonts w:ascii="Times New Roman" w:hAnsi="Times New Roman"/>
        </w:rPr>
        <w:t xml:space="preserve">it was predominantly a very dense layer of small singles. Because the particles were so close, there were several cases in which two separate singles were identified by Ilastik as a double. Also some of the singles were so small that Ilastik could not identify them. The image from </w:t>
      </w:r>
      <w:r w:rsidR="005B3D97">
        <w:rPr>
          <w:rFonts w:ascii="Times New Roman" w:hAnsi="Times New Roman"/>
          <w:b/>
        </w:rPr>
        <w:t>October 30</w:t>
      </w:r>
      <w:r w:rsidR="005B3D97" w:rsidRPr="005B3D97">
        <w:rPr>
          <w:rFonts w:ascii="Times New Roman" w:hAnsi="Times New Roman"/>
          <w:b/>
          <w:vertAlign w:val="superscript"/>
        </w:rPr>
        <w:t>th</w:t>
      </w:r>
      <w:r w:rsidR="005B3D97">
        <w:rPr>
          <w:rFonts w:ascii="Times New Roman" w:hAnsi="Times New Roman"/>
          <w:b/>
        </w:rPr>
        <w:t xml:space="preserve"> </w:t>
      </w:r>
      <w:r w:rsidR="005B3D97">
        <w:rPr>
          <w:rFonts w:ascii="Times New Roman" w:hAnsi="Times New Roman"/>
        </w:rPr>
        <w:t xml:space="preserve">was also predominately singles, but had greater spacing between np’s. This allowed for </w:t>
      </w:r>
      <w:r w:rsidR="00963ABB">
        <w:rPr>
          <w:rFonts w:ascii="Times New Roman" w:hAnsi="Times New Roman"/>
        </w:rPr>
        <w:t xml:space="preserve">easy labeling and more accurate predictions. </w:t>
      </w:r>
      <w:r w:rsidR="005B3D97">
        <w:rPr>
          <w:rFonts w:ascii="Times New Roman" w:hAnsi="Times New Roman"/>
        </w:rPr>
        <w:t xml:space="preserve"> </w:t>
      </w:r>
    </w:p>
    <w:p w14:paraId="0F498B7C" w14:textId="77777777" w:rsidR="008B1043" w:rsidRDefault="008B1043" w:rsidP="00963ABB">
      <w:pPr>
        <w:rPr>
          <w:rFonts w:ascii="Times New Roman" w:hAnsi="Times New Roman"/>
        </w:rPr>
      </w:pPr>
    </w:p>
    <w:p w14:paraId="722DA791" w14:textId="4D4669F2" w:rsidR="008B1043" w:rsidRPr="008B1043" w:rsidRDefault="008B1043" w:rsidP="00963ABB">
      <w:pPr>
        <w:rPr>
          <w:rFonts w:ascii="Times New Roman" w:hAnsi="Times New Roman"/>
          <w:i/>
        </w:rPr>
      </w:pPr>
      <w:r w:rsidRPr="008B1043">
        <w:rPr>
          <w:rFonts w:ascii="Times New Roman" w:hAnsi="Times New Roman"/>
          <w:i/>
        </w:rPr>
        <w:t xml:space="preserve">We noted that both Object Feature Selections used gave very similar results (seen above in </w:t>
      </w:r>
      <w:r w:rsidRPr="008B1043">
        <w:rPr>
          <w:rFonts w:ascii="Times New Roman" w:hAnsi="Times New Roman"/>
          <w:b/>
          <w:i/>
        </w:rPr>
        <w:t xml:space="preserve">II </w:t>
      </w:r>
      <w:r w:rsidRPr="008B1043">
        <w:rPr>
          <w:rFonts w:ascii="Times New Roman" w:hAnsi="Times New Roman"/>
          <w:i/>
        </w:rPr>
        <w:t xml:space="preserve">and </w:t>
      </w:r>
      <w:r w:rsidRPr="008B1043">
        <w:rPr>
          <w:rFonts w:ascii="Times New Roman" w:hAnsi="Times New Roman"/>
          <w:b/>
          <w:i/>
        </w:rPr>
        <w:t>V</w:t>
      </w:r>
      <w:r w:rsidRPr="008B1043">
        <w:rPr>
          <w:rFonts w:ascii="Times New Roman" w:hAnsi="Times New Roman"/>
          <w:i/>
        </w:rPr>
        <w:t>). The deviation from old method is more significant.</w:t>
      </w:r>
    </w:p>
    <w:p w14:paraId="15873FFE" w14:textId="77777777" w:rsidR="00963ABB" w:rsidRDefault="00963ABB" w:rsidP="00120E13">
      <w:pPr>
        <w:rPr>
          <w:rFonts w:ascii="Times New Roman" w:hAnsi="Times New Roman"/>
        </w:rPr>
      </w:pPr>
    </w:p>
    <w:p w14:paraId="00AEC027" w14:textId="77777777" w:rsidR="00963ABB" w:rsidRDefault="00963ABB" w:rsidP="00120E13">
      <w:pPr>
        <w:rPr>
          <w:rFonts w:ascii="Times New Roman" w:hAnsi="Times New Roman"/>
          <w:b/>
        </w:rPr>
      </w:pPr>
      <w:r w:rsidRPr="00963ABB">
        <w:rPr>
          <w:rFonts w:ascii="Times New Roman" w:hAnsi="Times New Roman"/>
          <w:b/>
        </w:rPr>
        <w:t>Extra</w:t>
      </w:r>
      <w:r>
        <w:rPr>
          <w:rFonts w:ascii="Times New Roman" w:hAnsi="Times New Roman"/>
          <w:b/>
        </w:rPr>
        <w:t>:</w:t>
      </w:r>
    </w:p>
    <w:p w14:paraId="4B0E5994" w14:textId="77777777" w:rsidR="00963ABB" w:rsidRPr="00963ABB" w:rsidRDefault="00963ABB" w:rsidP="00963ABB">
      <w:pPr>
        <w:pStyle w:val="ListParagraph"/>
        <w:numPr>
          <w:ilvl w:val="0"/>
          <w:numId w:val="6"/>
        </w:numPr>
        <w:rPr>
          <w:rFonts w:ascii="Times New Roman" w:hAnsi="Times New Roman"/>
          <w:b/>
        </w:rPr>
      </w:pPr>
      <w:r>
        <w:rPr>
          <w:rFonts w:ascii="Times New Roman" w:hAnsi="Times New Roman"/>
        </w:rPr>
        <w:t>Ilastik runs faster with higher resolution images.</w:t>
      </w:r>
    </w:p>
    <w:p w14:paraId="008F7290" w14:textId="77777777" w:rsidR="00963ABB" w:rsidRPr="00963ABB" w:rsidRDefault="00963ABB" w:rsidP="00963ABB">
      <w:pPr>
        <w:pStyle w:val="ListParagraph"/>
        <w:numPr>
          <w:ilvl w:val="0"/>
          <w:numId w:val="6"/>
        </w:numPr>
        <w:rPr>
          <w:rFonts w:ascii="Times New Roman" w:hAnsi="Times New Roman"/>
          <w:b/>
        </w:rPr>
      </w:pPr>
      <w:r>
        <w:rPr>
          <w:rFonts w:ascii="Times New Roman" w:hAnsi="Times New Roman"/>
        </w:rPr>
        <w:t>Ilastik runs slower when images contain large numbers of np’s.</w:t>
      </w:r>
    </w:p>
    <w:p w14:paraId="1A2ABD8E" w14:textId="77777777" w:rsidR="00963ABB" w:rsidRPr="00963ABB" w:rsidRDefault="00963ABB" w:rsidP="00963ABB">
      <w:pPr>
        <w:pStyle w:val="ListParagraph"/>
        <w:numPr>
          <w:ilvl w:val="0"/>
          <w:numId w:val="6"/>
        </w:numPr>
        <w:rPr>
          <w:rFonts w:ascii="Times New Roman" w:hAnsi="Times New Roman"/>
          <w:b/>
        </w:rPr>
      </w:pPr>
      <w:r>
        <w:rPr>
          <w:rFonts w:ascii="Times New Roman" w:hAnsi="Times New Roman"/>
        </w:rPr>
        <w:t>Ilastik runs much slower when skewness is run as one of the criteria for ‘Object feature Selection.</w:t>
      </w:r>
    </w:p>
    <w:p w14:paraId="74B6AFC0" w14:textId="77777777" w:rsidR="00963ABB" w:rsidRPr="00963ABB" w:rsidRDefault="00963ABB" w:rsidP="00963ABB">
      <w:pPr>
        <w:pStyle w:val="ListParagraph"/>
        <w:numPr>
          <w:ilvl w:val="0"/>
          <w:numId w:val="6"/>
        </w:numPr>
        <w:rPr>
          <w:rFonts w:ascii="Times New Roman" w:hAnsi="Times New Roman"/>
          <w:b/>
        </w:rPr>
      </w:pPr>
      <w:r w:rsidRPr="00963ABB">
        <w:rPr>
          <w:rFonts w:ascii="Times New Roman" w:hAnsi="Times New Roman"/>
        </w:rPr>
        <w:lastRenderedPageBreak/>
        <w:t>Shadows of large clusters are often considered background and therefore affect label prediction when using criteria that focus on size (such as count and region radii).</w:t>
      </w:r>
    </w:p>
    <w:p w14:paraId="1F8142D0" w14:textId="77777777" w:rsidR="00963ABB" w:rsidRPr="00963ABB" w:rsidRDefault="00963ABB" w:rsidP="00120E13">
      <w:pPr>
        <w:rPr>
          <w:rFonts w:ascii="Times New Roman" w:hAnsi="Times New Roman"/>
          <w:b/>
        </w:rPr>
      </w:pPr>
    </w:p>
    <w:sectPr w:rsidR="00963ABB" w:rsidRPr="00963ABB" w:rsidSect="005F42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20EB"/>
    <w:multiLevelType w:val="hybridMultilevel"/>
    <w:tmpl w:val="41864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66764"/>
    <w:multiLevelType w:val="hybridMultilevel"/>
    <w:tmpl w:val="35BE4BE4"/>
    <w:lvl w:ilvl="0" w:tplc="EF5C3F9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6251A3"/>
    <w:multiLevelType w:val="hybridMultilevel"/>
    <w:tmpl w:val="F4D2A32E"/>
    <w:lvl w:ilvl="0" w:tplc="0106AF6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435B8"/>
    <w:multiLevelType w:val="hybridMultilevel"/>
    <w:tmpl w:val="2F66B09A"/>
    <w:lvl w:ilvl="0" w:tplc="E188D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3348B9"/>
    <w:multiLevelType w:val="hybridMultilevel"/>
    <w:tmpl w:val="BE148998"/>
    <w:lvl w:ilvl="0" w:tplc="EC6465F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9915D9"/>
    <w:multiLevelType w:val="hybridMultilevel"/>
    <w:tmpl w:val="501A7F06"/>
    <w:lvl w:ilvl="0" w:tplc="8F60F164">
      <w:start w:val="1"/>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A10"/>
    <w:rsid w:val="00120E13"/>
    <w:rsid w:val="0027050F"/>
    <w:rsid w:val="002C4A10"/>
    <w:rsid w:val="005A1D02"/>
    <w:rsid w:val="005A43EB"/>
    <w:rsid w:val="005B3D97"/>
    <w:rsid w:val="005F425E"/>
    <w:rsid w:val="00825D1D"/>
    <w:rsid w:val="008B1043"/>
    <w:rsid w:val="00963ABB"/>
    <w:rsid w:val="009D5E2C"/>
    <w:rsid w:val="00EA3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D5BD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A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1334">
      <w:bodyDiv w:val="1"/>
      <w:marLeft w:val="0"/>
      <w:marRight w:val="0"/>
      <w:marTop w:val="0"/>
      <w:marBottom w:val="0"/>
      <w:divBdr>
        <w:top w:val="none" w:sz="0" w:space="0" w:color="auto"/>
        <w:left w:val="none" w:sz="0" w:space="0" w:color="auto"/>
        <w:bottom w:val="none" w:sz="0" w:space="0" w:color="auto"/>
        <w:right w:val="none" w:sz="0" w:space="0" w:color="auto"/>
      </w:divBdr>
    </w:div>
    <w:div w:id="50425684">
      <w:bodyDiv w:val="1"/>
      <w:marLeft w:val="0"/>
      <w:marRight w:val="0"/>
      <w:marTop w:val="0"/>
      <w:marBottom w:val="0"/>
      <w:divBdr>
        <w:top w:val="none" w:sz="0" w:space="0" w:color="auto"/>
        <w:left w:val="none" w:sz="0" w:space="0" w:color="auto"/>
        <w:bottom w:val="none" w:sz="0" w:space="0" w:color="auto"/>
        <w:right w:val="none" w:sz="0" w:space="0" w:color="auto"/>
      </w:divBdr>
    </w:div>
    <w:div w:id="87164700">
      <w:bodyDiv w:val="1"/>
      <w:marLeft w:val="0"/>
      <w:marRight w:val="0"/>
      <w:marTop w:val="0"/>
      <w:marBottom w:val="0"/>
      <w:divBdr>
        <w:top w:val="none" w:sz="0" w:space="0" w:color="auto"/>
        <w:left w:val="none" w:sz="0" w:space="0" w:color="auto"/>
        <w:bottom w:val="none" w:sz="0" w:space="0" w:color="auto"/>
        <w:right w:val="none" w:sz="0" w:space="0" w:color="auto"/>
      </w:divBdr>
    </w:div>
    <w:div w:id="264575440">
      <w:bodyDiv w:val="1"/>
      <w:marLeft w:val="0"/>
      <w:marRight w:val="0"/>
      <w:marTop w:val="0"/>
      <w:marBottom w:val="0"/>
      <w:divBdr>
        <w:top w:val="none" w:sz="0" w:space="0" w:color="auto"/>
        <w:left w:val="none" w:sz="0" w:space="0" w:color="auto"/>
        <w:bottom w:val="none" w:sz="0" w:space="0" w:color="auto"/>
        <w:right w:val="none" w:sz="0" w:space="0" w:color="auto"/>
      </w:divBdr>
    </w:div>
    <w:div w:id="1136218594">
      <w:bodyDiv w:val="1"/>
      <w:marLeft w:val="0"/>
      <w:marRight w:val="0"/>
      <w:marTop w:val="0"/>
      <w:marBottom w:val="0"/>
      <w:divBdr>
        <w:top w:val="none" w:sz="0" w:space="0" w:color="auto"/>
        <w:left w:val="none" w:sz="0" w:space="0" w:color="auto"/>
        <w:bottom w:val="none" w:sz="0" w:space="0" w:color="auto"/>
        <w:right w:val="none" w:sz="0" w:space="0" w:color="auto"/>
      </w:divBdr>
    </w:div>
    <w:div w:id="1613242598">
      <w:bodyDiv w:val="1"/>
      <w:marLeft w:val="0"/>
      <w:marRight w:val="0"/>
      <w:marTop w:val="0"/>
      <w:marBottom w:val="0"/>
      <w:divBdr>
        <w:top w:val="none" w:sz="0" w:space="0" w:color="auto"/>
        <w:left w:val="none" w:sz="0" w:space="0" w:color="auto"/>
        <w:bottom w:val="none" w:sz="0" w:space="0" w:color="auto"/>
        <w:right w:val="none" w:sz="0" w:space="0" w:color="auto"/>
      </w:divBdr>
    </w:div>
    <w:div w:id="1852796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671</Words>
  <Characters>3831</Characters>
  <Application>Microsoft Macintosh Word</Application>
  <DocSecurity>0</DocSecurity>
  <Lines>31</Lines>
  <Paragraphs>8</Paragraphs>
  <ScaleCrop>false</ScaleCrop>
  <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Morton</dc:creator>
  <cp:keywords/>
  <dc:description/>
  <cp:lastModifiedBy>Clay Morton</cp:lastModifiedBy>
  <cp:revision>3</cp:revision>
  <cp:lastPrinted>2014-07-09T17:23:00Z</cp:lastPrinted>
  <dcterms:created xsi:type="dcterms:W3CDTF">2014-07-09T15:42:00Z</dcterms:created>
  <dcterms:modified xsi:type="dcterms:W3CDTF">2014-07-09T18:42:00Z</dcterms:modified>
</cp:coreProperties>
</file>