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F6BD" w14:textId="77777777" w:rsidR="00D94131" w:rsidRDefault="00000000">
      <w:r>
        <w:t>THURMAN EARL ROBINSON JR. 15634 Wallisville Rd #800-170 Houston, TX 77049 Telephone: (323) 545-8969 Email: masterkingmalik@gmail.com</w:t>
      </w:r>
    </w:p>
    <w:p w14:paraId="3BEDACBE" w14:textId="77777777" w:rsidR="00D94131" w:rsidRDefault="00000000">
      <w:pPr>
        <w:pStyle w:val="BodyText"/>
      </w:pPr>
      <w:r>
        <w:t>Petitioner, In Pro Per</w:t>
      </w:r>
    </w:p>
    <w:p w14:paraId="2808C712" w14:textId="77777777" w:rsidR="00D94131" w:rsidRDefault="00000000">
      <w:pPr>
        <w:pStyle w:val="BodyText"/>
      </w:pPr>
      <w:r>
        <w:rPr>
          <w:b/>
          <w:bCs/>
        </w:rPr>
        <w:t>SUPERIOR COURT OF CALIFORNIA, COUNTY OF LOS ANGELES – PROBATE DIVISION</w:t>
      </w:r>
      <w:r>
        <w:t xml:space="preserve"> Stanley Mosk Courthouse, 111 N. Hill Street, Los Angeles, CA 90012</w:t>
      </w:r>
    </w:p>
    <w:p w14:paraId="73C9D367" w14:textId="77777777" w:rsidR="00D94131" w:rsidRDefault="00000000">
      <w:pPr>
        <w:pStyle w:val="BodyText"/>
      </w:pPr>
      <w:r>
        <w:rPr>
          <w:b/>
          <w:bCs/>
        </w:rPr>
        <w:t>Estate of: THURMAN EARL ROBINSON SR., Deceased</w:t>
      </w:r>
    </w:p>
    <w:p w14:paraId="20C01CC4" w14:textId="77777777" w:rsidR="00D94131" w:rsidRDefault="00000000">
      <w:pPr>
        <w:pStyle w:val="BodyText"/>
      </w:pPr>
      <w:r>
        <w:rPr>
          <w:b/>
          <w:bCs/>
        </w:rPr>
        <w:t>Case No.:</w:t>
      </w:r>
      <w:r>
        <w:t xml:space="preserve"> [To be assigned] </w:t>
      </w:r>
      <w:r>
        <w:rPr>
          <w:b/>
          <w:bCs/>
        </w:rPr>
        <w:t>Dept:</w:t>
      </w:r>
      <w:r>
        <w:t xml:space="preserve"> [ ] </w:t>
      </w:r>
      <w:r>
        <w:rPr>
          <w:b/>
          <w:bCs/>
        </w:rPr>
        <w:t>Hearing:</w:t>
      </w:r>
      <w:r>
        <w:t xml:space="preserve"> [Set by Court]</w:t>
      </w:r>
    </w:p>
    <w:p w14:paraId="051C58E8" w14:textId="77777777" w:rsidR="00D94131" w:rsidRDefault="00000000">
      <w:pPr>
        <w:pStyle w:val="BodyText"/>
      </w:pPr>
      <w:r>
        <w:rPr>
          <w:b/>
          <w:bCs/>
        </w:rPr>
        <w:t>Filed under seal pursuant to CRC 2.550–2.551</w:t>
      </w:r>
      <w:r>
        <w:t xml:space="preserve"> Ex parte relief requested; notice infeasible and likely to cause irreparable harm (see declaration).</w:t>
      </w:r>
    </w:p>
    <w:p w14:paraId="2B8B7D9F" w14:textId="77777777" w:rsidR="00D94131" w:rsidRDefault="00000000">
      <w:pPr>
        <w:pStyle w:val="BodyText"/>
      </w:pPr>
      <w:r>
        <w:rPr>
          <w:b/>
          <w:bCs/>
        </w:rPr>
        <w:t>AFFIDAVIT OF DAMAGES AND FINANCIAL LOSSES (FILED UNDER SEAL)</w:t>
      </w:r>
    </w:p>
    <w:p w14:paraId="215EFF3A" w14:textId="77777777" w:rsidR="00D94131" w:rsidRDefault="00000000">
      <w:pPr>
        <w:pStyle w:val="BodyText"/>
      </w:pPr>
      <w:r>
        <w:t>I, THURMAN EARL ROBINSON JR., declare under penalty of perjury as follows:</w:t>
      </w:r>
    </w:p>
    <w:p w14:paraId="54720BF7" w14:textId="77777777" w:rsidR="00D94131" w:rsidRDefault="00000000">
      <w:pPr>
        <w:numPr>
          <w:ilvl w:val="0"/>
          <w:numId w:val="3"/>
        </w:numPr>
      </w:pPr>
      <w:r>
        <w:t>I am the Petitioner in this action and the son of the decedent, THURMAN EARL ROBINSON SR. I have personal knowledge of the facts stated herein, which are supported by documents lodged with the Court as sealed exhibits.</w:t>
      </w:r>
    </w:p>
    <w:p w14:paraId="3641EFE7" w14:textId="77777777" w:rsidR="00D94131" w:rsidRDefault="00000000">
      <w:pPr>
        <w:numPr>
          <w:ilvl w:val="0"/>
          <w:numId w:val="3"/>
        </w:numPr>
      </w:pPr>
      <w:r>
        <w:t>This affidavit is submitted to provide the Court with a detailed, itemized accounting of the financial losses and damages sustained by the Decedent’s estate due to the misappropriation, obstruction, and unlawful actions of Respondents Fatimah C. Moore (aka Calvin), Anaya Fatima Mays, Wahkeelah Fatima, and Nile Mays. The calculations herein are based on bank statements, payoff letters, insurance claim files, ledgers, and other business records maintained by me and third-party institutions.</w:t>
      </w:r>
    </w:p>
    <w:p w14:paraId="1A9D3D59" w14:textId="77777777" w:rsidR="00D94131" w:rsidRDefault="00000000">
      <w:pPr>
        <w:pStyle w:val="Heading3"/>
      </w:pPr>
      <w:bookmarkStart w:id="0" w:name="i.-detailed-damages-categories"/>
      <w:r>
        <w:rPr>
          <w:b/>
          <w:bCs/>
        </w:rPr>
        <w:t>I. DETAILED DAMAGES CATEGORIES</w:t>
      </w:r>
    </w:p>
    <w:p w14:paraId="1D473D4D" w14:textId="77777777" w:rsidR="00D94131" w:rsidRDefault="00000000">
      <w:r>
        <w:lastRenderedPageBreak/>
        <w:t>The following is a categorical breakdown of the damages incurred by the estate from the date of Decedent’s death on February 15, 2022, to the present.</w:t>
      </w:r>
    </w:p>
    <w:p w14:paraId="51076EC4" w14:textId="77777777" w:rsidR="00D94131" w:rsidRDefault="00000000">
      <w:pPr>
        <w:pStyle w:val="BodyText"/>
      </w:pPr>
      <w:r>
        <w:rPr>
          <w:b/>
          <w:bCs/>
        </w:rPr>
        <w:t>1. Mortgage Liability and Accrued Interest (PNC Bank)</w:t>
      </w:r>
      <w:r>
        <w:t xml:space="preserve"> * </w:t>
      </w:r>
      <w:r>
        <w:rPr>
          <w:b/>
          <w:bCs/>
        </w:rPr>
        <w:t>Base Payoff Amount (as of 02/16/2022):</w:t>
      </w:r>
      <w:r>
        <w:t xml:space="preserve"> $377,610.97 </w:t>
      </w:r>
      <w:r>
        <w:rPr>
          <w:i/>
          <w:iCs/>
        </w:rPr>
        <w:t>(Source: PNC Payoff Statement, Exhibit D)</w:t>
      </w:r>
      <w:r>
        <w:t xml:space="preserve"> * </w:t>
      </w:r>
      <w:r>
        <w:rPr>
          <w:b/>
          <w:bCs/>
        </w:rPr>
        <w:t>Per-Diem Interest Accrual:</w:t>
      </w:r>
      <w:r>
        <w:t xml:space="preserve"> $43,488.69 </w:t>
      </w:r>
      <w:r>
        <w:rPr>
          <w:i/>
          <w:iCs/>
        </w:rPr>
        <w:t>(Calculation: The PNC statement specifies a per-diem interest rate of $32.19 after 03/15/2022. From March 15, 2022, to November 24, 2025, is 1,351 days. 1,351 days × $32.19/day = $43,488.69).</w:t>
      </w:r>
      <w:r>
        <w:br/>
        <w:t xml:space="preserve">* </w:t>
      </w:r>
      <w:r>
        <w:rPr>
          <w:b/>
          <w:bCs/>
        </w:rPr>
        <w:t>Subtotal (Mortgage Liability):</w:t>
      </w:r>
      <w:r>
        <w:t xml:space="preserve"> </w:t>
      </w:r>
      <w:r>
        <w:rPr>
          <w:b/>
          <w:bCs/>
        </w:rPr>
        <w:t>$421,099.66</w:t>
      </w:r>
    </w:p>
    <w:p w14:paraId="25312D19" w14:textId="77777777" w:rsidR="00D94131" w:rsidRDefault="00000000">
      <w:pPr>
        <w:pStyle w:val="BodyText"/>
      </w:pPr>
      <w:r>
        <w:rPr>
          <w:b/>
          <w:bCs/>
        </w:rPr>
        <w:t>2. Insurance Misappropriation (AAA)</w:t>
      </w:r>
      <w:r>
        <w:t xml:space="preserve"> * A life insurance policy payout of approximately $25,000 was intercepted and misappropriated by Respondent Moore and was not applied to estate debts or obligations. </w:t>
      </w:r>
      <w:r>
        <w:rPr>
          <w:i/>
          <w:iCs/>
        </w:rPr>
        <w:t>(Source: AAA Insurance Claim File, Exhibit H)</w:t>
      </w:r>
      <w:r>
        <w:t xml:space="preserve"> * </w:t>
      </w:r>
      <w:r>
        <w:rPr>
          <w:b/>
          <w:bCs/>
        </w:rPr>
        <w:t>Subtotal (Insurance Misappropriation):</w:t>
      </w:r>
      <w:r>
        <w:t xml:space="preserve"> </w:t>
      </w:r>
      <w:r>
        <w:rPr>
          <w:b/>
          <w:bCs/>
        </w:rPr>
        <w:t>$25,000.00</w:t>
      </w:r>
    </w:p>
    <w:p w14:paraId="6A9BCE07" w14:textId="77777777" w:rsidR="00D94131" w:rsidRDefault="00000000">
      <w:pPr>
        <w:pStyle w:val="BodyText"/>
      </w:pPr>
      <w:r>
        <w:rPr>
          <w:b/>
          <w:bCs/>
        </w:rPr>
        <w:t>3. Unauthorized Bank Transactions (Bank of America)</w:t>
      </w:r>
      <w:r>
        <w:t xml:space="preserve"> * Post-death statements reveal approximately $8,800 in unauthorized withdrawals, checks, and transfers from Decedent’s accounts. </w:t>
      </w:r>
      <w:r>
        <w:rPr>
          <w:i/>
          <w:iCs/>
        </w:rPr>
        <w:t>(Source: Bank of America Statements, Exhibit F)</w:t>
      </w:r>
      <w:r>
        <w:t xml:space="preserve"> * </w:t>
      </w:r>
      <w:r>
        <w:rPr>
          <w:b/>
          <w:bCs/>
        </w:rPr>
        <w:t>Subtotal (Unauthorized Transactions):</w:t>
      </w:r>
      <w:r>
        <w:t xml:space="preserve"> </w:t>
      </w:r>
      <w:r>
        <w:rPr>
          <w:b/>
          <w:bCs/>
        </w:rPr>
        <w:t>$8,800.00</w:t>
      </w:r>
    </w:p>
    <w:p w14:paraId="763BDA5A" w14:textId="77777777" w:rsidR="00D94131" w:rsidRDefault="00000000">
      <w:pPr>
        <w:pStyle w:val="BodyText"/>
      </w:pPr>
      <w:r>
        <w:rPr>
          <w:b/>
          <w:bCs/>
        </w:rPr>
        <w:t>4. Unauthorized Credit and Luxury Expenditures</w:t>
      </w:r>
      <w:r>
        <w:t xml:space="preserve"> * Respondents made unauthorized use of credit accounts (Macy’s, Barclays, Synchrony Bank) for personal and luxury items, creating new liabilities for the estate. </w:t>
      </w:r>
      <w:r>
        <w:rPr>
          <w:i/>
          <w:iCs/>
        </w:rPr>
        <w:t>(Source: Credit Issuer Statements, Exhibit I)</w:t>
      </w:r>
      <w:r>
        <w:t xml:space="preserve"> * </w:t>
      </w:r>
      <w:r>
        <w:rPr>
          <w:b/>
          <w:bCs/>
        </w:rPr>
        <w:t>Subtotal (Estimated Credit Misuse):</w:t>
      </w:r>
      <w:r>
        <w:t xml:space="preserve"> </w:t>
      </w:r>
      <w:r>
        <w:rPr>
          <w:b/>
          <w:bCs/>
        </w:rPr>
        <w:t>$50,000.00 – $75,000.00</w:t>
      </w:r>
    </w:p>
    <w:p w14:paraId="7134998A" w14:textId="77777777" w:rsidR="00D94131" w:rsidRDefault="00000000">
      <w:pPr>
        <w:pStyle w:val="BodyText"/>
      </w:pPr>
      <w:r>
        <w:rPr>
          <w:b/>
          <w:bCs/>
        </w:rPr>
        <w:t>5. Petitioner’s Personal Funds Consumed</w:t>
      </w:r>
      <w:r>
        <w:t xml:space="preserve"> * I transferred approximately $15,000 of my personal funds to estate-related accounts to cover urgent expenses (e.g., HOA, </w:t>
      </w:r>
      <w:r>
        <w:lastRenderedPageBreak/>
        <w:t xml:space="preserve">mortgage). These funds were commandeered and consumed by Respondents for non-estate purposes and never returned. * </w:t>
      </w:r>
      <w:r>
        <w:rPr>
          <w:b/>
          <w:bCs/>
        </w:rPr>
        <w:t>Subtotal (Petitioner’s Funds):</w:t>
      </w:r>
      <w:r>
        <w:t xml:space="preserve"> </w:t>
      </w:r>
      <w:r>
        <w:rPr>
          <w:b/>
          <w:bCs/>
        </w:rPr>
        <w:t>$15,000.00</w:t>
      </w:r>
    </w:p>
    <w:p w14:paraId="09F34417" w14:textId="77777777" w:rsidR="00D94131" w:rsidRDefault="00000000">
      <w:pPr>
        <w:pStyle w:val="BodyText"/>
      </w:pPr>
      <w:r>
        <w:rPr>
          <w:b/>
          <w:bCs/>
        </w:rPr>
        <w:t>6. Retirement Deposits Diverted</w:t>
      </w:r>
      <w:r>
        <w:t xml:space="preserve"> * Post-death retirement and survivor benefit deposits were diverted by Respondents. The exact total is pending custodian production. </w:t>
      </w:r>
      <w:r>
        <w:rPr>
          <w:i/>
          <w:iCs/>
        </w:rPr>
        <w:t>(Source: California Credit Union Logs, Exhibit G)</w:t>
      </w:r>
      <w:r>
        <w:t xml:space="preserve"> * </w:t>
      </w:r>
      <w:r>
        <w:rPr>
          <w:b/>
          <w:bCs/>
        </w:rPr>
        <w:t>Subtotal (Estimated Retirement Diversion):</w:t>
      </w:r>
      <w:r>
        <w:t xml:space="preserve"> </w:t>
      </w:r>
      <w:r>
        <w:rPr>
          <w:b/>
          <w:bCs/>
        </w:rPr>
        <w:t>$100,000.00+</w:t>
      </w:r>
    </w:p>
    <w:p w14:paraId="5487CAB2" w14:textId="77777777" w:rsidR="00D94131" w:rsidRDefault="00000000">
      <w:pPr>
        <w:pStyle w:val="BodyText"/>
      </w:pPr>
      <w:r>
        <w:rPr>
          <w:b/>
          <w:bCs/>
        </w:rPr>
        <w:t>7. Personal Property Losses</w:t>
      </w:r>
      <w:r>
        <w:t xml:space="preserve"> * Valuable personal property was removed from the Condo or is being concealed by Respondents, including a 2008 Nissan truck, gold/silver bullion, jewelry, and electronics. </w:t>
      </w:r>
      <w:r>
        <w:rPr>
          <w:i/>
          <w:iCs/>
        </w:rPr>
        <w:t>(Source: Appraisals and Inventories, Exhibit M)</w:t>
      </w:r>
      <w:r>
        <w:t xml:space="preserve"> * </w:t>
      </w:r>
      <w:r>
        <w:rPr>
          <w:b/>
          <w:bCs/>
        </w:rPr>
        <w:t>Subtotal (Estimated Personal Property):</w:t>
      </w:r>
      <w:r>
        <w:t xml:space="preserve"> </w:t>
      </w:r>
      <w:r>
        <w:rPr>
          <w:b/>
          <w:bCs/>
        </w:rPr>
        <w:t>$150,000.00 – $200,000.00</w:t>
      </w:r>
    </w:p>
    <w:p w14:paraId="7877EC2C" w14:textId="77777777" w:rsidR="00D94131" w:rsidRDefault="00000000">
      <w:pPr>
        <w:pStyle w:val="BodyText"/>
      </w:pPr>
      <w:r>
        <w:rPr>
          <w:b/>
          <w:bCs/>
        </w:rPr>
        <w:t>8. Carrying Costs (HOA, Taxes, Insurance, Utilities)</w:t>
      </w:r>
      <w:r>
        <w:t xml:space="preserve"> * The estate has incurred significant carrying costs for the Condo due to Respondents’ unlawful occupation, which prevented the property’s sale or liquidation. </w:t>
      </w:r>
      <w:r>
        <w:rPr>
          <w:i/>
          <w:iCs/>
        </w:rPr>
        <w:t>(Source: HOA/Tax/Insurance/Utility Bills, Exhibit L)</w:t>
      </w:r>
      <w:r>
        <w:t xml:space="preserve"> * </w:t>
      </w:r>
      <w:r>
        <w:rPr>
          <w:b/>
          <w:bCs/>
        </w:rPr>
        <w:t>Subtotal (Estimated Carrying Costs):</w:t>
      </w:r>
      <w:r>
        <w:t xml:space="preserve"> </w:t>
      </w:r>
      <w:r>
        <w:rPr>
          <w:b/>
          <w:bCs/>
        </w:rPr>
        <w:t>$25,000.00 – $45,000.00</w:t>
      </w:r>
    </w:p>
    <w:p w14:paraId="2BAC4833" w14:textId="77777777" w:rsidR="00D94131" w:rsidRDefault="00000000">
      <w:pPr>
        <w:pStyle w:val="BodyText"/>
      </w:pPr>
      <w:r>
        <w:rPr>
          <w:b/>
          <w:bCs/>
        </w:rPr>
        <w:t>9. Lost Rental Value</w:t>
      </w:r>
      <w:r>
        <w:t xml:space="preserve"> * The estate has been deprived of market-rate rental income from the Condo. At a conservative estimate of $3,000 per month for 45 months (March 2022 to November 2025), the total loss is substantial. * </w:t>
      </w:r>
      <w:r>
        <w:rPr>
          <w:b/>
          <w:bCs/>
        </w:rPr>
        <w:t>Subtotal (Lost Rent):</w:t>
      </w:r>
      <w:r>
        <w:t xml:space="preserve"> </w:t>
      </w:r>
      <w:r>
        <w:rPr>
          <w:b/>
          <w:bCs/>
        </w:rPr>
        <w:t>$135,000.00</w:t>
      </w:r>
    </w:p>
    <w:p w14:paraId="0B5A9BE1" w14:textId="77777777" w:rsidR="00D94131" w:rsidRDefault="00000000">
      <w:pPr>
        <w:pStyle w:val="Heading3"/>
      </w:pPr>
      <w:bookmarkStart w:id="1" w:name="ii.-aggregate-damages-summary"/>
      <w:bookmarkEnd w:id="0"/>
      <w:r>
        <w:rPr>
          <w:b/>
          <w:bCs/>
        </w:rPr>
        <w:t>II. AGGREGATE DAMAGES SUMMARY</w:t>
      </w:r>
    </w:p>
    <w:tbl>
      <w:tblPr>
        <w:tblW w:w="5000" w:type="pct"/>
        <w:tblCellMar>
          <w:left w:w="10" w:type="dxa"/>
          <w:right w:w="10" w:type="dxa"/>
        </w:tblCellMar>
        <w:tblLook w:val="0020" w:firstRow="1" w:lastRow="0" w:firstColumn="0" w:lastColumn="0" w:noHBand="0" w:noVBand="0"/>
      </w:tblPr>
      <w:tblGrid>
        <w:gridCol w:w="6485"/>
        <w:gridCol w:w="2541"/>
      </w:tblGrid>
      <w:tr w:rsidR="00D94131" w14:paraId="1AAA0F0D" w14:textId="77777777">
        <w:tblPrEx>
          <w:tblCellMar>
            <w:top w:w="0" w:type="dxa"/>
            <w:bottom w:w="0" w:type="dxa"/>
          </w:tblCellMar>
        </w:tblPrEx>
        <w:trPr>
          <w:tblHeader/>
        </w:trPr>
        <w:tc>
          <w:tcPr>
            <w:tcW w:w="0" w:type="auto"/>
          </w:tcPr>
          <w:p w14:paraId="2E1AC7ED" w14:textId="77777777" w:rsidR="00D94131" w:rsidRDefault="00000000">
            <w:r>
              <w:rPr>
                <w:b/>
                <w:bCs/>
              </w:rPr>
              <w:t>Damage Category</w:t>
            </w:r>
          </w:p>
        </w:tc>
        <w:tc>
          <w:tcPr>
            <w:tcW w:w="0" w:type="auto"/>
          </w:tcPr>
          <w:p w14:paraId="5474A9FC" w14:textId="77777777" w:rsidR="00D94131" w:rsidRDefault="00000000">
            <w:r>
              <w:rPr>
                <w:b/>
                <w:bCs/>
              </w:rPr>
              <w:t>Estimated Amount</w:t>
            </w:r>
          </w:p>
        </w:tc>
      </w:tr>
      <w:tr w:rsidR="00D94131" w14:paraId="765691CC" w14:textId="77777777">
        <w:tblPrEx>
          <w:tblCellMar>
            <w:top w:w="0" w:type="dxa"/>
            <w:bottom w:w="0" w:type="dxa"/>
          </w:tblCellMar>
        </w:tblPrEx>
        <w:tc>
          <w:tcPr>
            <w:tcW w:w="0" w:type="auto"/>
          </w:tcPr>
          <w:p w14:paraId="09102BC9" w14:textId="77777777" w:rsidR="00D94131" w:rsidRDefault="00000000">
            <w:r>
              <w:t>Mortgage Liability (Principal + Interest)</w:t>
            </w:r>
          </w:p>
        </w:tc>
        <w:tc>
          <w:tcPr>
            <w:tcW w:w="0" w:type="auto"/>
          </w:tcPr>
          <w:p w14:paraId="4C6C6B20" w14:textId="77777777" w:rsidR="00D94131" w:rsidRDefault="00000000">
            <w:r>
              <w:t>$421,099.66</w:t>
            </w:r>
          </w:p>
        </w:tc>
      </w:tr>
      <w:tr w:rsidR="00D94131" w14:paraId="4A7F8E17" w14:textId="77777777">
        <w:tblPrEx>
          <w:tblCellMar>
            <w:top w:w="0" w:type="dxa"/>
            <w:bottom w:w="0" w:type="dxa"/>
          </w:tblCellMar>
        </w:tblPrEx>
        <w:tc>
          <w:tcPr>
            <w:tcW w:w="0" w:type="auto"/>
          </w:tcPr>
          <w:p w14:paraId="722443E1" w14:textId="77777777" w:rsidR="00D94131" w:rsidRDefault="00000000">
            <w:r>
              <w:t>Insurance Misappropriation</w:t>
            </w:r>
          </w:p>
        </w:tc>
        <w:tc>
          <w:tcPr>
            <w:tcW w:w="0" w:type="auto"/>
          </w:tcPr>
          <w:p w14:paraId="744D09D8" w14:textId="77777777" w:rsidR="00D94131" w:rsidRDefault="00000000">
            <w:r>
              <w:t>$25,000.00</w:t>
            </w:r>
          </w:p>
        </w:tc>
      </w:tr>
      <w:tr w:rsidR="00D94131" w14:paraId="31B9FD74" w14:textId="77777777">
        <w:tblPrEx>
          <w:tblCellMar>
            <w:top w:w="0" w:type="dxa"/>
            <w:bottom w:w="0" w:type="dxa"/>
          </w:tblCellMar>
        </w:tblPrEx>
        <w:tc>
          <w:tcPr>
            <w:tcW w:w="0" w:type="auto"/>
          </w:tcPr>
          <w:p w14:paraId="1A7AF47B" w14:textId="77777777" w:rsidR="00D94131" w:rsidRDefault="00000000">
            <w:r>
              <w:t>Unauthorized Bank Transactions</w:t>
            </w:r>
          </w:p>
        </w:tc>
        <w:tc>
          <w:tcPr>
            <w:tcW w:w="0" w:type="auto"/>
          </w:tcPr>
          <w:p w14:paraId="7A01CA47" w14:textId="77777777" w:rsidR="00D94131" w:rsidRDefault="00000000">
            <w:r>
              <w:t>$8,800.00</w:t>
            </w:r>
          </w:p>
        </w:tc>
      </w:tr>
      <w:tr w:rsidR="00D94131" w14:paraId="7EF6445A" w14:textId="77777777">
        <w:tblPrEx>
          <w:tblCellMar>
            <w:top w:w="0" w:type="dxa"/>
            <w:bottom w:w="0" w:type="dxa"/>
          </w:tblCellMar>
        </w:tblPrEx>
        <w:tc>
          <w:tcPr>
            <w:tcW w:w="0" w:type="auto"/>
          </w:tcPr>
          <w:p w14:paraId="473D2820" w14:textId="77777777" w:rsidR="00D94131" w:rsidRDefault="00000000">
            <w:r>
              <w:t>Credit and Luxury Expenditures (Est.)</w:t>
            </w:r>
          </w:p>
        </w:tc>
        <w:tc>
          <w:tcPr>
            <w:tcW w:w="0" w:type="auto"/>
          </w:tcPr>
          <w:p w14:paraId="10393D6D" w14:textId="77777777" w:rsidR="00D94131" w:rsidRDefault="00000000">
            <w:r>
              <w:t>$50,000.00</w:t>
            </w:r>
          </w:p>
        </w:tc>
      </w:tr>
      <w:tr w:rsidR="00D94131" w14:paraId="76807F71" w14:textId="77777777">
        <w:tblPrEx>
          <w:tblCellMar>
            <w:top w:w="0" w:type="dxa"/>
            <w:bottom w:w="0" w:type="dxa"/>
          </w:tblCellMar>
        </w:tblPrEx>
        <w:tc>
          <w:tcPr>
            <w:tcW w:w="0" w:type="auto"/>
          </w:tcPr>
          <w:p w14:paraId="48A93505" w14:textId="77777777" w:rsidR="00D94131" w:rsidRDefault="00000000">
            <w:r>
              <w:lastRenderedPageBreak/>
              <w:t>Petitioner’s Personal Funds Consumed</w:t>
            </w:r>
          </w:p>
        </w:tc>
        <w:tc>
          <w:tcPr>
            <w:tcW w:w="0" w:type="auto"/>
          </w:tcPr>
          <w:p w14:paraId="1E63D21E" w14:textId="77777777" w:rsidR="00D94131" w:rsidRDefault="00000000">
            <w:r>
              <w:t>$15,000.00</w:t>
            </w:r>
          </w:p>
        </w:tc>
      </w:tr>
      <w:tr w:rsidR="00D94131" w14:paraId="123661AA" w14:textId="77777777">
        <w:tblPrEx>
          <w:tblCellMar>
            <w:top w:w="0" w:type="dxa"/>
            <w:bottom w:w="0" w:type="dxa"/>
          </w:tblCellMar>
        </w:tblPrEx>
        <w:tc>
          <w:tcPr>
            <w:tcW w:w="0" w:type="auto"/>
          </w:tcPr>
          <w:p w14:paraId="3AA61B3F" w14:textId="77777777" w:rsidR="00D94131" w:rsidRDefault="00000000">
            <w:r>
              <w:t>Retirement Deposits Diverted (Est.)</w:t>
            </w:r>
          </w:p>
        </w:tc>
        <w:tc>
          <w:tcPr>
            <w:tcW w:w="0" w:type="auto"/>
          </w:tcPr>
          <w:p w14:paraId="117009D8" w14:textId="77777777" w:rsidR="00D94131" w:rsidRDefault="00000000">
            <w:r>
              <w:t>$100,000.00</w:t>
            </w:r>
          </w:p>
        </w:tc>
      </w:tr>
      <w:tr w:rsidR="00D94131" w14:paraId="7E40CB52" w14:textId="77777777">
        <w:tblPrEx>
          <w:tblCellMar>
            <w:top w:w="0" w:type="dxa"/>
            <w:bottom w:w="0" w:type="dxa"/>
          </w:tblCellMar>
        </w:tblPrEx>
        <w:tc>
          <w:tcPr>
            <w:tcW w:w="0" w:type="auto"/>
          </w:tcPr>
          <w:p w14:paraId="4B4D6118" w14:textId="77777777" w:rsidR="00D94131" w:rsidRDefault="00000000">
            <w:r>
              <w:t>Personal Property Losses (Est.)</w:t>
            </w:r>
          </w:p>
        </w:tc>
        <w:tc>
          <w:tcPr>
            <w:tcW w:w="0" w:type="auto"/>
          </w:tcPr>
          <w:p w14:paraId="7292A13E" w14:textId="77777777" w:rsidR="00D94131" w:rsidRDefault="00000000">
            <w:r>
              <w:t>$150,000.00</w:t>
            </w:r>
          </w:p>
        </w:tc>
      </w:tr>
      <w:tr w:rsidR="00D94131" w14:paraId="4C60C5BA" w14:textId="77777777">
        <w:tblPrEx>
          <w:tblCellMar>
            <w:top w:w="0" w:type="dxa"/>
            <w:bottom w:w="0" w:type="dxa"/>
          </w:tblCellMar>
        </w:tblPrEx>
        <w:tc>
          <w:tcPr>
            <w:tcW w:w="0" w:type="auto"/>
          </w:tcPr>
          <w:p w14:paraId="16C4F61D" w14:textId="77777777" w:rsidR="00D94131" w:rsidRDefault="00000000">
            <w:r>
              <w:t>Carrying Costs (Est.)</w:t>
            </w:r>
          </w:p>
        </w:tc>
        <w:tc>
          <w:tcPr>
            <w:tcW w:w="0" w:type="auto"/>
          </w:tcPr>
          <w:p w14:paraId="1D226A9D" w14:textId="77777777" w:rsidR="00D94131" w:rsidRDefault="00000000">
            <w:r>
              <w:t>$25,000.00</w:t>
            </w:r>
          </w:p>
        </w:tc>
      </w:tr>
      <w:tr w:rsidR="00D94131" w14:paraId="00FACB1A" w14:textId="77777777">
        <w:tblPrEx>
          <w:tblCellMar>
            <w:top w:w="0" w:type="dxa"/>
            <w:bottom w:w="0" w:type="dxa"/>
          </w:tblCellMar>
        </w:tblPrEx>
        <w:tc>
          <w:tcPr>
            <w:tcW w:w="0" w:type="auto"/>
          </w:tcPr>
          <w:p w14:paraId="378E4F5B" w14:textId="77777777" w:rsidR="00D94131" w:rsidRDefault="00000000">
            <w:r>
              <w:t>Lost Rental Value</w:t>
            </w:r>
          </w:p>
        </w:tc>
        <w:tc>
          <w:tcPr>
            <w:tcW w:w="0" w:type="auto"/>
          </w:tcPr>
          <w:p w14:paraId="69872747" w14:textId="77777777" w:rsidR="00D94131" w:rsidRDefault="00000000">
            <w:r>
              <w:t>$135,000.00</w:t>
            </w:r>
          </w:p>
        </w:tc>
      </w:tr>
      <w:tr w:rsidR="00D94131" w14:paraId="31773F8A" w14:textId="77777777">
        <w:tblPrEx>
          <w:tblCellMar>
            <w:top w:w="0" w:type="dxa"/>
            <w:bottom w:w="0" w:type="dxa"/>
          </w:tblCellMar>
        </w:tblPrEx>
        <w:tc>
          <w:tcPr>
            <w:tcW w:w="0" w:type="auto"/>
          </w:tcPr>
          <w:p w14:paraId="304E6509" w14:textId="77777777" w:rsidR="00D94131" w:rsidRDefault="00000000">
            <w:r>
              <w:rPr>
                <w:b/>
                <w:bCs/>
              </w:rPr>
              <w:t>TOTAL ESTIMATED DAMAGES (Conservative)</w:t>
            </w:r>
          </w:p>
        </w:tc>
        <w:tc>
          <w:tcPr>
            <w:tcW w:w="0" w:type="auto"/>
          </w:tcPr>
          <w:p w14:paraId="4A86D3C6" w14:textId="77777777" w:rsidR="00D94131" w:rsidRDefault="00000000">
            <w:r>
              <w:rPr>
                <w:b/>
                <w:bCs/>
              </w:rPr>
              <w:t>$934,899.66+</w:t>
            </w:r>
          </w:p>
        </w:tc>
      </w:tr>
    </w:tbl>
    <w:p w14:paraId="46CD62E1" w14:textId="77777777" w:rsidR="00D94131" w:rsidRDefault="00000000">
      <w:pPr>
        <w:pStyle w:val="BodyText"/>
      </w:pPr>
      <w:r>
        <w:rPr>
          <w:i/>
          <w:iCs/>
        </w:rPr>
        <w:t>Note: The total reflects the lower end of estimated ranges and is subject to upward revision upon receipt of compelled accountings and appraisals. The full scope of damages is believed to exceed $1,200,000.</w:t>
      </w:r>
    </w:p>
    <w:p w14:paraId="50573218" w14:textId="77777777" w:rsidR="00D94131" w:rsidRDefault="00000000">
      <w:pPr>
        <w:pStyle w:val="Heading3"/>
      </w:pPr>
      <w:bookmarkStart w:id="2" w:name="iii.-verification"/>
      <w:bookmarkEnd w:id="1"/>
      <w:r>
        <w:rPr>
          <w:b/>
          <w:bCs/>
        </w:rPr>
        <w:t>III. VERIFICATION</w:t>
      </w:r>
    </w:p>
    <w:p w14:paraId="3C29B330" w14:textId="77777777" w:rsidR="00D94131" w:rsidRDefault="00000000">
      <w:r>
        <w:t>I declare under penalty of perjury under the laws of the State of California that the foregoing affidavit of damages and financial losses is true and correct to the best of my knowledge and belief, based on the documents in my possession and my personal investigation.</w:t>
      </w:r>
    </w:p>
    <w:p w14:paraId="26CC0491" w14:textId="77777777" w:rsidR="00D94131" w:rsidRDefault="00000000">
      <w:pPr>
        <w:pStyle w:val="BodyText"/>
      </w:pPr>
      <w:r>
        <w:t>Executed on November 24, 2025, at Houston, Texas.</w:t>
      </w:r>
    </w:p>
    <w:p w14:paraId="7BD7F721" w14:textId="77777777" w:rsidR="00D94131" w:rsidRDefault="00000000">
      <w:pPr>
        <w:pStyle w:val="BodyText"/>
      </w:pPr>
      <w:r>
        <w:t xml:space="preserve">/s/ THURMAN EARL ROBINSON JR. </w:t>
      </w:r>
      <w:r>
        <w:rPr>
          <w:b/>
          <w:bCs/>
        </w:rPr>
        <w:t>THURMAN EARL ROBINSON JR.</w:t>
      </w:r>
      <w:r>
        <w:t xml:space="preserve"> Petitioner, In Pro Per</w:t>
      </w:r>
      <w:bookmarkEnd w:id="2"/>
    </w:p>
    <w:sectPr w:rsidR="00D9413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6996" w14:textId="77777777" w:rsidR="00C250BF" w:rsidRDefault="00C250BF">
      <w:pPr>
        <w:spacing w:line="240" w:lineRule="auto"/>
      </w:pPr>
      <w:r>
        <w:separator/>
      </w:r>
    </w:p>
  </w:endnote>
  <w:endnote w:type="continuationSeparator" w:id="0">
    <w:p w14:paraId="371F8BD4" w14:textId="77777777" w:rsidR="00C250BF" w:rsidRDefault="00C250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STIX Two Math"/>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A825" w14:textId="77777777" w:rsidR="000015A1" w:rsidRDefault="000015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B003" w14:textId="18F24D8A" w:rsidR="00D94131" w:rsidRDefault="00D94131">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24412" w14:textId="77777777" w:rsidR="000015A1" w:rsidRDefault="000015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2F93" w14:textId="77777777" w:rsidR="00C250BF" w:rsidRDefault="00C250BF">
      <w:r>
        <w:separator/>
      </w:r>
    </w:p>
  </w:footnote>
  <w:footnote w:type="continuationSeparator" w:id="0">
    <w:p w14:paraId="0D8D29C9" w14:textId="77777777" w:rsidR="00C250BF" w:rsidRDefault="00C250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A1291" w14:textId="77777777" w:rsidR="000015A1" w:rsidRDefault="000015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6B8E" w14:textId="70F2429C" w:rsidR="00D94131" w:rsidRDefault="00D9413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5B2A" w14:textId="77777777" w:rsidR="000015A1" w:rsidRDefault="00001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42B7464"/>
    <w:multiLevelType w:val="hybridMultilevel"/>
    <w:tmpl w:val="FFFFFFFF"/>
    <w:lvl w:ilvl="0" w:tplc="D1D68FF6">
      <w:start w:val="1"/>
      <w:numFmt w:val="bullet"/>
      <w:lvlText w:val="●"/>
      <w:lvlJc w:val="left"/>
      <w:pPr>
        <w:ind w:left="720" w:hanging="360"/>
      </w:pPr>
    </w:lvl>
    <w:lvl w:ilvl="1" w:tplc="5F746DEA">
      <w:start w:val="1"/>
      <w:numFmt w:val="bullet"/>
      <w:lvlText w:val="○"/>
      <w:lvlJc w:val="left"/>
      <w:pPr>
        <w:ind w:left="1440" w:hanging="360"/>
      </w:pPr>
    </w:lvl>
    <w:lvl w:ilvl="2" w:tplc="3000E604">
      <w:start w:val="1"/>
      <w:numFmt w:val="bullet"/>
      <w:lvlText w:val="■"/>
      <w:lvlJc w:val="left"/>
      <w:pPr>
        <w:ind w:left="2160" w:hanging="360"/>
      </w:pPr>
    </w:lvl>
    <w:lvl w:ilvl="3" w:tplc="BF20C878">
      <w:start w:val="1"/>
      <w:numFmt w:val="bullet"/>
      <w:lvlText w:val="●"/>
      <w:lvlJc w:val="left"/>
      <w:pPr>
        <w:ind w:left="2880" w:hanging="360"/>
      </w:pPr>
    </w:lvl>
    <w:lvl w:ilvl="4" w:tplc="3C8C2B86">
      <w:start w:val="1"/>
      <w:numFmt w:val="bullet"/>
      <w:lvlText w:val="○"/>
      <w:lvlJc w:val="left"/>
      <w:pPr>
        <w:ind w:left="3600" w:hanging="360"/>
      </w:pPr>
    </w:lvl>
    <w:lvl w:ilvl="5" w:tplc="F6F22F0E">
      <w:start w:val="1"/>
      <w:numFmt w:val="bullet"/>
      <w:lvlText w:val="■"/>
      <w:lvlJc w:val="left"/>
      <w:pPr>
        <w:ind w:left="4320" w:hanging="360"/>
      </w:pPr>
    </w:lvl>
    <w:lvl w:ilvl="6" w:tplc="9A02EB3C">
      <w:start w:val="1"/>
      <w:numFmt w:val="bullet"/>
      <w:lvlText w:val="●"/>
      <w:lvlJc w:val="left"/>
      <w:pPr>
        <w:ind w:left="5040" w:hanging="360"/>
      </w:pPr>
    </w:lvl>
    <w:lvl w:ilvl="7" w:tplc="164A5270">
      <w:start w:val="1"/>
      <w:numFmt w:val="bullet"/>
      <w:lvlText w:val="●"/>
      <w:lvlJc w:val="left"/>
      <w:pPr>
        <w:ind w:left="5760" w:hanging="360"/>
      </w:pPr>
    </w:lvl>
    <w:lvl w:ilvl="8" w:tplc="E7F2DCDE">
      <w:start w:val="1"/>
      <w:numFmt w:val="bullet"/>
      <w:lvlText w:val="●"/>
      <w:lvlJc w:val="left"/>
      <w:pPr>
        <w:ind w:left="6480" w:hanging="360"/>
      </w:pPr>
    </w:lvl>
  </w:abstractNum>
  <w:num w:numId="1" w16cid:durableId="794257513">
    <w:abstractNumId w:val="2"/>
    <w:lvlOverride w:ilvl="0">
      <w:startOverride w:val="1"/>
    </w:lvlOverride>
  </w:num>
  <w:num w:numId="2" w16cid:durableId="1917082679">
    <w:abstractNumId w:val="0"/>
  </w:num>
  <w:num w:numId="3" w16cid:durableId="204220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131"/>
    <w:rsid w:val="000015A1"/>
    <w:rsid w:val="00BD5F2E"/>
    <w:rsid w:val="00C250BF"/>
    <w:rsid w:val="00D9413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F01262"/>
  <w15:docId w15:val="{3F50362A-A75A-6641-8F30-3B58FB28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sz w:val="24"/>
      <w:szCs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BodyText">
    <w:name w:val="Body Text"/>
    <w:qFormat/>
    <w:pPr>
      <w:spacing w:line="480" w:lineRule="auto"/>
    </w:pPr>
    <w:rPr>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Header">
    <w:name w:val="header"/>
    <w:basedOn w:val="Normal"/>
    <w:link w:val="HeaderChar"/>
    <w:uiPriority w:val="99"/>
    <w:unhideWhenUsed/>
    <w:rsid w:val="000015A1"/>
    <w:pPr>
      <w:tabs>
        <w:tab w:val="center" w:pos="4680"/>
        <w:tab w:val="right" w:pos="9360"/>
      </w:tabs>
      <w:spacing w:line="240" w:lineRule="auto"/>
    </w:pPr>
  </w:style>
  <w:style w:type="character" w:customStyle="1" w:styleId="HeaderChar">
    <w:name w:val="Header Char"/>
    <w:basedOn w:val="DefaultParagraphFont"/>
    <w:link w:val="Header"/>
    <w:uiPriority w:val="99"/>
    <w:rsid w:val="000015A1"/>
    <w:rPr>
      <w:sz w:val="24"/>
      <w:szCs w:val="24"/>
    </w:rPr>
  </w:style>
  <w:style w:type="paragraph" w:styleId="Footer">
    <w:name w:val="footer"/>
    <w:basedOn w:val="Normal"/>
    <w:link w:val="FooterChar"/>
    <w:uiPriority w:val="99"/>
    <w:unhideWhenUsed/>
    <w:rsid w:val="000015A1"/>
    <w:pPr>
      <w:tabs>
        <w:tab w:val="center" w:pos="4680"/>
        <w:tab w:val="right" w:pos="9360"/>
      </w:tabs>
      <w:spacing w:line="240" w:lineRule="auto"/>
    </w:pPr>
  </w:style>
  <w:style w:type="character" w:customStyle="1" w:styleId="FooterChar">
    <w:name w:val="Footer Char"/>
    <w:basedOn w:val="DefaultParagraphFont"/>
    <w:link w:val="Footer"/>
    <w:uiPriority w:val="99"/>
    <w:rsid w:val="000015A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825</Words>
  <Characters>4704</Characters>
  <Application>Microsoft Office Word</Application>
  <DocSecurity>0</DocSecurity>
  <Lines>39</Lines>
  <Paragraphs>11</Paragraphs>
  <ScaleCrop>false</ScaleCrop>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Therman Robinson</cp:lastModifiedBy>
  <cp:revision>2</cp:revision>
  <dcterms:created xsi:type="dcterms:W3CDTF">2025-11-25T00:21:00Z</dcterms:created>
  <dcterms:modified xsi:type="dcterms:W3CDTF">2025-11-25T03:58:00Z</dcterms:modified>
</cp:coreProperties>
</file>