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>
          <w:b/>
        </w:rPr>
        <w:t xml:space="preserve">Brief Case Document/Note List (BCDNL)</w:t>
      </w:r>
      <w:r>
        <w:rPr/>
        <w:br w:type="textWrapping"/>
      </w:r>
      <w:r>
        <w:rPr>
          <w:i/>
        </w:rPr>
        <w:t xml:space="preserve">Summary of Legal References, Case Law, and Statutory Authorities Integrated into the Updated Petition for Thurman Robinson</w:t>
      </w:r>
    </w:p>
    <w:p>
      <w:pPr>
        <w:spacing w:lineRule="auto"/>
      </w:pPr>
      <w:r>
        <w:rPr>
          <w:b/>
        </w:rPr>
        <w:t xml:space="preserve">I. Texas Property Code Sections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92.001 et seq.</w:t>
      </w:r>
    </w:p>
    <w:p>
      <w:pPr>
        <w:numPr>
          <w:ilvl w:val="1"/>
          <w:numId w:val="2"/>
        </w:numPr>
        <w:spacing w:lineRule="auto"/>
      </w:pPr>
      <w:r>
        <w:rPr/>
        <w:t xml:space="preserve">General provisions protecting tenant rights, ensuring landlords adhere to notice and due process requirements.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92.0081</w:t>
      </w:r>
    </w:p>
    <w:p>
      <w:pPr>
        <w:numPr>
          <w:ilvl w:val="1"/>
          <w:numId w:val="3"/>
        </w:numPr>
        <w:spacing w:lineRule="auto"/>
      </w:pPr>
      <w:r>
        <w:rPr/>
        <w:t xml:space="preserve">Requires proper written notice before any attempt to evacuate or lock out a tenant.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92.009</w:t>
      </w:r>
    </w:p>
    <w:p>
      <w:pPr>
        <w:numPr>
          <w:ilvl w:val="1"/>
          <w:numId w:val="4"/>
        </w:numPr>
        <w:spacing w:lineRule="auto"/>
      </w:pPr>
      <w:r>
        <w:rPr/>
        <w:t xml:space="preserve">Establishes procedures for lawful eviction and prohibits illegal lockouts.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92.051</w:t>
      </w:r>
    </w:p>
    <w:p>
      <w:pPr>
        <w:numPr>
          <w:ilvl w:val="1"/>
          <w:numId w:val="5"/>
        </w:numPr>
        <w:spacing w:lineRule="auto"/>
      </w:pPr>
      <w:r>
        <w:rPr/>
        <w:t xml:space="preserve">Mandates that landlords maintain rental properties in habitable conditions.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92.061</w:t>
      </w:r>
    </w:p>
    <w:p>
      <w:pPr>
        <w:numPr>
          <w:ilvl w:val="1"/>
          <w:numId w:val="6"/>
        </w:numPr>
        <w:spacing w:lineRule="auto"/>
      </w:pPr>
      <w:r>
        <w:rPr/>
        <w:t xml:space="preserve">Covers the obligation to perform repairs and maintain a livable environment.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92.063</w:t>
      </w:r>
    </w:p>
    <w:p>
      <w:pPr>
        <w:numPr>
          <w:ilvl w:val="1"/>
          <w:numId w:val="7"/>
        </w:numPr>
        <w:spacing w:lineRule="auto"/>
      </w:pPr>
      <w:r>
        <w:rPr/>
        <w:t xml:space="preserve">Specifically addresses protection against retaliatory eviction and reinforces habitability requirements.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92.105</w:t>
      </w:r>
    </w:p>
    <w:p>
      <w:pPr>
        <w:numPr>
          <w:ilvl w:val="1"/>
          <w:numId w:val="8"/>
        </w:numPr>
        <w:spacing w:lineRule="auto"/>
      </w:pPr>
      <w:r>
        <w:rPr/>
        <w:t xml:space="preserve">Provides notice requirements related to termination of leases and tenant rights.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92.333</w:t>
      </w:r>
    </w:p>
    <w:p>
      <w:pPr>
        <w:numPr>
          <w:ilvl w:val="1"/>
          <w:numId w:val="9"/>
        </w:numPr>
        <w:spacing w:lineRule="auto"/>
      </w:pPr>
      <w:r>
        <w:rPr/>
        <w:t xml:space="preserve">Relates to the imposition of penalties for harassment and retaliatory behavior by landlords.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92.202</w:t>
      </w:r>
    </w:p>
    <w:p>
      <w:pPr>
        <w:numPr>
          <w:ilvl w:val="1"/>
          <w:numId w:val="10"/>
        </w:numPr>
        <w:spacing w:lineRule="auto"/>
      </w:pPr>
      <w:r>
        <w:rPr/>
        <w:t xml:space="preserve">Establishes the implied warranty of habitability in residential leases.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Texas Property Code § 92.004</w:t>
      </w:r>
    </w:p>
    <w:p>
      <w:pPr>
        <w:numPr>
          <w:ilvl w:val="1"/>
          <w:numId w:val="11"/>
        </w:numPr>
        <w:spacing w:lineRule="auto"/>
      </w:pPr>
      <w:r>
        <w:rPr/>
        <w:t xml:space="preserve">Protects a tenant’s right to withhold rent when habitability issues are not addressed.</w:t>
      </w:r>
    </w:p>
    <w:p>
      <w:pPr>
        <w:spacing w:lineRule="auto"/>
      </w:pPr>
      <w:r>
        <w:rPr>
          <w:b/>
        </w:rPr>
        <w:t xml:space="preserve">II. Federal Statutory Authorities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Fair Housing Act (42 U.S.C. § 3601 et seq.)</w:t>
      </w:r>
    </w:p>
    <w:p>
      <w:pPr>
        <w:numPr>
          <w:ilvl w:val="1"/>
          <w:numId w:val="13"/>
        </w:numPr>
        <w:spacing w:lineRule="auto"/>
      </w:pPr>
      <w:r>
        <w:rPr/>
        <w:t xml:space="preserve">Prohibits discrimination in housing, including retaliatory eviction practices that may have a discriminatory impact.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Americans with Disabilities Act (42 U.S.C. § 12101 et seq.)</w:t>
      </w:r>
    </w:p>
    <w:p>
      <w:pPr>
        <w:numPr>
          <w:ilvl w:val="1"/>
          <w:numId w:val="14"/>
        </w:numPr>
        <w:spacing w:lineRule="auto"/>
      </w:pPr>
      <w:r>
        <w:rPr/>
        <w:t xml:space="preserve">Ensures accessibility and non-discrimination in housing, particularly for persons with disabilities, including aspects relevant to home-based business operations and accommodations.</w:t>
      </w:r>
    </w:p>
    <w:p>
      <w:pPr>
        <w:spacing w:lineRule="auto"/>
      </w:pPr>
      <w:r>
        <w:rPr>
          <w:b/>
        </w:rPr>
        <w:t xml:space="preserve">III. Relevant Case Law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Sanchez v. Transcontinental Real Estate, Inc.</w:t>
      </w:r>
    </w:p>
    <w:p>
      <w:pPr>
        <w:numPr>
          <w:ilvl w:val="1"/>
          <w:numId w:val="16"/>
        </w:numPr>
        <w:spacing w:lineRule="auto"/>
      </w:pPr>
      <w:r>
        <w:rPr/>
        <w:t xml:space="preserve">Citation: 2020 WL 415567 (Tex. App.—Houston [14th Dist.] Dec. 15, 2020)</w:t>
      </w:r>
    </w:p>
    <w:p>
      <w:pPr>
        <w:numPr>
          <w:ilvl w:val="1"/>
          <w:numId w:val="16"/>
        </w:numPr>
        <w:spacing w:lineRule="auto"/>
      </w:pPr>
      <w:r>
        <w:rPr/>
        <w:t xml:space="preserve">Emphasizes the necessity for proper written notice and due process prior to eviction actions.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Garner v. Doe</w:t>
      </w:r>
    </w:p>
    <w:p>
      <w:pPr>
        <w:numPr>
          <w:ilvl w:val="1"/>
          <w:numId w:val="17"/>
        </w:numPr>
        <w:spacing w:lineRule="auto"/>
      </w:pPr>
      <w:r>
        <w:rPr/>
        <w:t xml:space="preserve">Citation: 278 S.W.3d 733 (Tex. App.—Houston [14th Dist.] 2008)</w:t>
      </w:r>
    </w:p>
    <w:p>
      <w:pPr>
        <w:numPr>
          <w:ilvl w:val="1"/>
          <w:numId w:val="17"/>
        </w:numPr>
        <w:spacing w:lineRule="auto"/>
      </w:pPr>
      <w:r>
        <w:rPr/>
        <w:t xml:space="preserve">Further interprets tenant habitability rights and delineates limits of landlord discretion in eviction matters.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Matter of Sims v. United American Bank</w:t>
      </w:r>
    </w:p>
    <w:p>
      <w:pPr>
        <w:numPr>
          <w:ilvl w:val="1"/>
          <w:numId w:val="18"/>
        </w:numPr>
        <w:spacing w:lineRule="auto"/>
      </w:pPr>
      <w:r>
        <w:rPr/>
        <w:t xml:space="preserve">Citation: 429 S.W.2d 1 (Tex. 1968)</w:t>
      </w:r>
    </w:p>
    <w:p>
      <w:pPr>
        <w:numPr>
          <w:ilvl w:val="1"/>
          <w:numId w:val="18"/>
        </w:numPr>
        <w:spacing w:lineRule="auto"/>
      </w:pPr>
      <w:r>
        <w:rPr/>
        <w:t xml:space="preserve">A seminal case supporting that retaliatory eviction after legitimate tenant complaints is unlawful.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State v. Morales</w:t>
      </w:r>
    </w:p>
    <w:p>
      <w:pPr>
        <w:numPr>
          <w:ilvl w:val="1"/>
          <w:numId w:val="19"/>
        </w:numPr>
        <w:spacing w:lineRule="auto"/>
      </w:pPr>
      <w:r>
        <w:rPr/>
        <w:t xml:space="preserve">Citation: 149 S.W.3d 510 (Tex. Crim. App. 2004)</w:t>
      </w:r>
    </w:p>
    <w:p>
      <w:pPr>
        <w:numPr>
          <w:ilvl w:val="1"/>
          <w:numId w:val="19"/>
        </w:numPr>
        <w:spacing w:lineRule="auto"/>
      </w:pPr>
      <w:r>
        <w:rPr/>
        <w:t xml:space="preserve">Provides an outline of conversion and trespass to chattels regarding unauthorized handling or removal of personal property by a landlord or their agents.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Henderson v. Board of Ed. of City of Houston</w:t>
      </w:r>
    </w:p>
    <w:p>
      <w:pPr>
        <w:numPr>
          <w:ilvl w:val="1"/>
          <w:numId w:val="20"/>
        </w:numPr>
        <w:spacing w:lineRule="auto"/>
      </w:pPr>
      <w:r>
        <w:rPr/>
        <w:t xml:space="preserve">Citation: 669 S.W.2d 398 (Tex. 1984)</w:t>
      </w:r>
    </w:p>
    <w:p>
      <w:pPr>
        <w:numPr>
          <w:ilvl w:val="1"/>
          <w:numId w:val="20"/>
        </w:numPr>
        <w:spacing w:lineRule="auto"/>
      </w:pPr>
      <w:r>
        <w:rPr/>
        <w:t xml:space="preserve">Supports defamation claims by establishing that false statements made with reckless disregard for the truth, particularly when shared with third parties, are actionable.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Pronovost v. Markham Hospital</w:t>
      </w:r>
    </w:p>
    <w:p>
      <w:pPr>
        <w:numPr>
          <w:ilvl w:val="1"/>
          <w:numId w:val="21"/>
        </w:numPr>
        <w:spacing w:lineRule="auto"/>
      </w:pPr>
      <w:r>
        <w:rPr/>
        <w:t xml:space="preserve">Citation: 331 S.W.3d 598 (Tex. 2010)</w:t>
      </w:r>
    </w:p>
    <w:p>
      <w:pPr>
        <w:numPr>
          <w:ilvl w:val="1"/>
          <w:numId w:val="21"/>
        </w:numPr>
        <w:spacing w:lineRule="auto"/>
      </w:pPr>
      <w:r>
        <w:rPr/>
        <w:t xml:space="preserve">Sets out the framework for claims related to intentional infliction of emotional distress due to extreme and outrageous conduct.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In re Apartment Construction</w:t>
      </w:r>
    </w:p>
    <w:p>
      <w:pPr>
        <w:numPr>
          <w:ilvl w:val="1"/>
          <w:numId w:val="22"/>
        </w:numPr>
        <w:spacing w:lineRule="auto"/>
      </w:pPr>
      <w:r>
        <w:rPr/>
        <w:t xml:space="preserve">Texas App. case reinforcing the implied warranty of habitability by holding that rental units must adhere to livability standards.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Saucedo v. Indian Housing Development, Inc.</w:t>
      </w:r>
    </w:p>
    <w:p>
      <w:pPr>
        <w:numPr>
          <w:ilvl w:val="1"/>
          <w:numId w:val="23"/>
        </w:numPr>
        <w:spacing w:lineRule="auto"/>
      </w:pPr>
      <w:r>
        <w:rPr/>
        <w:t xml:space="preserve">Citation: 262 S.W.3d 647 (Tex. App.—Houston [1st Dist.] 2008)</w:t>
      </w:r>
    </w:p>
    <w:p>
      <w:pPr>
        <w:numPr>
          <w:ilvl w:val="1"/>
          <w:numId w:val="23"/>
        </w:numPr>
        <w:spacing w:lineRule="auto"/>
      </w:pPr>
      <w:r>
        <w:rPr/>
        <w:t xml:space="preserve">Addresses retaliatory eviction and validates claims surrounding breach of implied warranty of habitability and tenant rights issues.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Texas Department of Housing and Community Affairs v. Wells</w:t>
      </w:r>
    </w:p>
    <w:p>
      <w:pPr>
        <w:numPr>
          <w:ilvl w:val="1"/>
          <w:numId w:val="24"/>
        </w:numPr>
        <w:spacing w:lineRule="auto"/>
      </w:pPr>
      <w:r>
        <w:rPr/>
        <w:t xml:space="preserve">Citation: 835 F. Supp. 2d 913 (S.D. Tex. 2011)</w:t>
      </w:r>
    </w:p>
    <w:p>
      <w:pPr>
        <w:numPr>
          <w:ilvl w:val="1"/>
          <w:numId w:val="24"/>
        </w:numPr>
        <w:spacing w:lineRule="auto"/>
      </w:pPr>
      <w:r>
        <w:rPr/>
        <w:t xml:space="preserve">A federal decision that confirms the applicability of the Fair Housing Act in challenging acts of retaliation and discriminatory practices by housing providers.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EEOC v. Ford Motor Co.</w:t>
      </w:r>
    </w:p>
    <w:p>
      <w:pPr>
        <w:numPr>
          <w:ilvl w:val="1"/>
          <w:numId w:val="25"/>
        </w:numPr>
        <w:spacing w:lineRule="auto"/>
      </w:pPr>
      <w:r>
        <w:rPr/>
        <w:t xml:space="preserve">Citation: 782 F. Supp. 2d 925 (E.D.N.Y. 2011)</w:t>
      </w:r>
    </w:p>
    <w:p>
      <w:pPr>
        <w:numPr>
          <w:ilvl w:val="1"/>
          <w:numId w:val="25"/>
        </w:numPr>
        <w:spacing w:lineRule="auto"/>
      </w:pPr>
      <w:r>
        <w:rPr/>
        <w:t xml:space="preserve">Illustrates principles of reasonable accommodation and non-discriminatory practice relevant to the ADA, applied here to the context of housing and property management.</w:t>
      </w:r>
    </w:p>
    <w:p>
      <w:pPr>
        <w:numPr>
          <w:ilvl w:val="0"/>
          <w:numId w:val="15"/>
        </w:numPr>
        <w:spacing w:lineRule="auto"/>
      </w:pPr>
      <w:r>
        <w:rPr>
          <w:b/>
        </w:rPr>
        <w:t xml:space="preserve">Ex parte Milligan</w:t>
      </w:r>
    </w:p>
    <w:p>
      <w:pPr>
        <w:numPr>
          <w:ilvl w:val="1"/>
          <w:numId w:val="26"/>
        </w:numPr>
        <w:spacing w:lineRule="auto"/>
      </w:pPr>
      <w:r>
        <w:rPr/>
        <w:t xml:space="preserve">Citation: 71 U.S. (4 Wall.) 2 (1866)</w:t>
      </w:r>
    </w:p>
    <w:p>
      <w:pPr>
        <w:numPr>
          <w:ilvl w:val="1"/>
          <w:numId w:val="26"/>
        </w:numPr>
        <w:spacing w:lineRule="auto"/>
      </w:pPr>
      <w:r>
        <w:rPr/>
        <w:t xml:space="preserve">Although historic and a federal case, its principles reinforce the importance of due process in legal proceedings.</w:t>
      </w:r>
    </w:p>
    <w:p>
      <w:pPr>
        <w:spacing w:lineRule="auto"/>
      </w:pPr>
      <w:r>
        <w:rPr>
          <w:b/>
        </w:rPr>
        <w:t xml:space="preserve">IV. Procedural and Venue References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Texas Civil Practice and Remedies Code § 15.002(a)(1)</w:t>
      </w:r>
    </w:p>
    <w:p>
      <w:pPr>
        <w:numPr>
          <w:ilvl w:val="1"/>
          <w:numId w:val="28"/>
        </w:numPr>
        <w:spacing w:lineRule="auto"/>
      </w:pPr>
      <w:r>
        <w:rPr/>
        <w:t xml:space="preserve">Establishes that venue is proper in Harris County since a substantial portion of the relevant events occurred there.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Federal Rules of Civil Procedure</w:t>
      </w:r>
    </w:p>
    <w:p>
      <w:pPr>
        <w:numPr>
          <w:ilvl w:val="1"/>
          <w:numId w:val="29"/>
        </w:numPr>
        <w:spacing w:lineRule="auto"/>
      </w:pPr>
      <w:r>
        <w:rPr/>
        <w:t xml:space="preserve">Underpin the evidentiary and procedural structure during the discovery process to ensure that all actions comply with due process.</w:t>
      </w:r>
    </w:p>
    <w:p>
      <w:pPr>
        <w:spacing w:lineRule="auto"/>
      </w:pPr>
      <w:r>
        <w:rPr>
          <w:i/>
        </w:rPr>
        <w:t xml:space="preserve">Today's Date: Mon Mar 03 2025 01:51:30 GMT+0000 (Coordinated Universal Time)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hyperlink xmlns:ns2="http://schemas.openxmlformats.org/officeDocument/2006/relationships" ns2:id="rId1">
      <r>
        <rPr>
          <color xmlns:ns3="http://schemas.openxmlformats.org/wordprocessingml/2006/main" ns3:val="4b5563"/>
          <rStyle xmlns:ns4="http://schemas.openxmlformats.org/wordprocessingml/2006/main" ns4:val="Hyperlink"/>
        </rPr>
        <t xml:space="preserve">https://www.cetient.com/research/6eb8c485-9d6e-4675-b5ce-3d4a13de06ea</t>
      </r>
    </hyperlink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4b5563"/>
      </rPr>
      <t xml:space="preserve">Exported by Cetient Legal Research AI </t>
    </r>
    <hyperlink xmlns:ns3="http://schemas.openxmlformats.org/officeDocument/2006/relationships" ns3:id="rId1">
      <r>
        <rPr>
          <color xmlns:ns4="http://schemas.openxmlformats.org/wordprocessingml/2006/main" ns4:val="4b5563"/>
          <rStyle xmlns:ns5="http://schemas.openxmlformats.org/wordprocessingml/2006/main" ns5:val="Hyperlink"/>
        </rPr>
        <t xml:space="preserve">https://www.cetient.com</t>
      </r>
    </hyperlink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_rels/footer1.xml.rels><?xml version="1.0" encoding="UTF-8" standalone="yes"?>
<Relationships xmlns="http://schemas.openxmlformats.org/package/2006/relationships">
  <Relationship Id="rId1" Type="http://schemas.openxmlformats.org/officeDocument/2006/relationships/hyperlink" Target="https://www.cetient.com/research/6eb8c485-9d6e-4675-b5ce-3d4a13de06ea" TargetMode="External"/>
</Relationships>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hyperlink" Target="https://www.cetient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BCDNL for NOVU Petition</dc:title>
  <dc:subject/>
  <dc:creator>Cetient Legal Research AI (https://www.cetient.com)</dc:creator>
  <cp:keywords>html-to-docx</cp:keywords>
  <dc:description/>
  <cp:lastModifiedBy>html-to-docx</cp:lastModifiedBy>
  <cp:revision>1</cp:revision>
  <dcterms:created xsi:type="dcterms:W3CDTF">2025-03-02T23:30:30.074Z</dcterms:created>
  <dcterms:modified xsi:type="dcterms:W3CDTF">2025-03-02T23:30:30.074Z</dcterms:modified>
</cp:coreProperties>
</file>