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Auditoria Técnica Completa</w:t>
      </w:r>
    </w:p>
    <w:p>
      <w:pPr>
        <w:spacing w:after="60"/>
      </w:pPr>
      <w:r>
        <w:rPr>
          <w:b/>
          <w:bCs/>
          <w:color w:val="5D6D7E"/>
          <w:sz w:val="32"/>
          <w:szCs w:val="32"/>
        </w:rPr>
        <w:t xml:space="preserve">Projeto AçaíFood (açaifoodV1)</w:t>
      </w:r>
    </w:p>
    <w:p>
      <w:pPr>
        <w:spacing w:after="40"/>
      </w:pPr>
      <w:r>
        <w:rPr>
          <w:i/>
          <w:iCs/>
          <w:color w:val="5D6D7E"/>
        </w:rPr>
        <w:t xml:space="preserve">Segurança • Qualidade de código • Dependências • Fluxo operacional • Financeiro</w:t>
      </w:r>
    </w:p>
    <w:p>
      <w:pPr>
        <w:spacing w:after="40"/>
      </w:pPr>
      <w:r>
        <w:rPr>
          <w:color w:val="5D6D7E"/>
        </w:rPr>
        <w:t xml:space="preserve">Data da auditoria: 11 de setembro de 2026</w:t>
      </w:r>
    </w:p>
    <w:p>
      <w:pPr>
        <w:spacing w:after="300"/>
      </w:pPr>
      <w:r>
        <w:rPr>
          <w:color w:val="5D6D7E"/>
        </w:rPr>
        <w:t xml:space="preserve">Escopo: código-fonte estático da pasta local do projeto (apenas leitura — nenhuma alteração foi feita no app, no banco de dados ou em contas externas).</w:t>
      </w:r>
    </w:p>
    <w:p>
      <w:pPr>
        <w:pStyle w:val="Heading1"/>
        <w:spacing w:after="200" w:before="400"/>
      </w:pPr>
      <w:r>
        <w:t xml:space="preserve">Resumo Executivo</w:t>
      </w:r>
    </w:p>
    <w:p>
      <w:pPr>
        <w:spacing w:after="120"/>
      </w:pPr>
      <w:r>
        <w:t xml:space="preserve">O AçaíFood é uma plataforma completa (Next.js 16 + React 19 + Supabase + Asaas) que já implementa boas práticas importantes — RLS habilitado nas principais tabelas, PIN de entrega com hash bcrypt e rate limiting, idempotência de pagamento, triggers atômicas para balanços financeiros. No entanto, a auditoria encontrou um conjunto de falhas graves que, juntas, permitem hoje (1) qualquer pessoa se tornar administrador da plataforma, (2) desviar dinheiro de pagamentos reais para uma conta arbitrária, e (3) forjar confirmações de pagamento falsas. Essas três cadeias de falha são consideradas críticas e devem ser tratadas antes de qualquer nova divulgação pública do app ou aumento de volume de transações.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tblGrid>
      <w:tr>
        <w:tc>
          <w:tcPr>
            <w:tcW w:type="dxa" w:w="2500"/>
            <w:shd w:fill="1B2631" w:val="clear"/>
          </w:tcPr>
          <w:p>
            <w:r>
              <w:rPr>
                <w:b/>
                <w:bCs/>
                <w:color w:val="FFFFFF"/>
              </w:rPr>
              <w:t xml:space="preserve">Severidade</w:t>
            </w:r>
          </w:p>
        </w:tc>
        <w:tc>
          <w:tcPr>
            <w:tcW w:type="dxa" w:w="2500"/>
            <w:shd w:fill="1B2631" w:val="clear"/>
          </w:tcPr>
          <w:p>
            <w:r>
              <w:rPr>
                <w:b/>
                <w:bCs/>
                <w:color w:val="FFFFFF"/>
              </w:rPr>
              <w:t xml:space="preserve">Qtde</w:t>
            </w:r>
          </w:p>
        </w:tc>
        <w:tc>
          <w:tcPr>
            <w:tcW w:type="dxa" w:w="2500"/>
            <w:shd w:fill="1B2631" w:val="clear"/>
          </w:tcPr>
          <w:p>
            <w:r>
              <w:rPr>
                <w:b/>
                <w:bCs/>
                <w:color w:val="FFFFFF"/>
              </w:rPr>
              <w:t xml:space="preserve">Área</w:t>
            </w:r>
          </w:p>
        </w:tc>
      </w:tr>
      <w:tr>
        <w:tc>
          <w:tcPr>
            <w:tcW w:type="dxa" w:w="2500"/>
            <w:shd w:fill="F2F3F4" w:val="clear"/>
          </w:tcPr>
          <w:p>
            <w:r>
              <w:rPr>
                <w:b/>
                <w:bCs/>
                <w:color w:val="C0392B"/>
              </w:rPr>
              <w:t xml:space="preserve">CRÍTICA</w:t>
            </w:r>
          </w:p>
        </w:tc>
        <w:tc>
          <w:tcPr>
            <w:tcW w:type="dxa" w:w="2500"/>
            <w:shd w:fill="F2F3F4" w:val="clear"/>
          </w:tcPr>
          <w:p>
            <w:r>
              <w:t xml:space="preserve">5</w:t>
            </w:r>
          </w:p>
        </w:tc>
        <w:tc>
          <w:tcPr>
            <w:tcW w:type="dxa" w:w="2500"/>
            <w:shd w:fill="F2F3F4" w:val="clear"/>
          </w:tcPr>
          <w:p>
            <w:r>
              <w:t xml:space="preserve">Segurança / Financeiro</w:t>
            </w:r>
          </w:p>
        </w:tc>
      </w:tr>
      <w:tr>
        <w:tc>
          <w:tcPr>
            <w:tcW w:type="dxa" w:w="2500"/>
            <w:shd w:fill="FFFFFF" w:val="clear"/>
          </w:tcPr>
          <w:p>
            <w:r>
              <w:rPr>
                <w:b/>
                <w:bCs/>
                <w:color w:val="E67E22"/>
              </w:rPr>
              <w:t xml:space="preserve">ALTA</w:t>
            </w:r>
          </w:p>
        </w:tc>
        <w:tc>
          <w:tcPr>
            <w:tcW w:type="dxa" w:w="2500"/>
            <w:shd w:fill="FFFFFF" w:val="clear"/>
          </w:tcPr>
          <w:p>
            <w:r>
              <w:t xml:space="preserve">6</w:t>
            </w:r>
          </w:p>
        </w:tc>
        <w:tc>
          <w:tcPr>
            <w:tcW w:type="dxa" w:w="2500"/>
            <w:shd w:fill="FFFFFF" w:val="clear"/>
          </w:tcPr>
          <w:p>
            <w:r>
              <w:t xml:space="preserve">Segurança / Financeiro / Dependências</w:t>
            </w:r>
          </w:p>
        </w:tc>
      </w:tr>
      <w:tr>
        <w:tc>
          <w:tcPr>
            <w:tcW w:type="dxa" w:w="2500"/>
            <w:shd w:fill="F2F3F4" w:val="clear"/>
          </w:tcPr>
          <w:p>
            <w:r>
              <w:rPr>
                <w:b/>
                <w:bCs/>
                <w:color w:val="D4AC0D"/>
              </w:rPr>
              <w:t xml:space="preserve">MÉDIA</w:t>
            </w:r>
          </w:p>
        </w:tc>
        <w:tc>
          <w:tcPr>
            <w:tcW w:type="dxa" w:w="2500"/>
            <w:shd w:fill="F2F3F4" w:val="clear"/>
          </w:tcPr>
          <w:p>
            <w:r>
              <w:t xml:space="preserve">6</w:t>
            </w:r>
          </w:p>
        </w:tc>
        <w:tc>
          <w:tcPr>
            <w:tcW w:type="dxa" w:w="2500"/>
            <w:shd w:fill="F2F3F4" w:val="clear"/>
          </w:tcPr>
          <w:p>
            <w:r>
              <w:t xml:space="preserve">Código / Operacional</w:t>
            </w:r>
          </w:p>
        </w:tc>
      </w:tr>
      <w:tr>
        <w:tc>
          <w:tcPr>
            <w:tcW w:type="dxa" w:w="2500"/>
            <w:shd w:fill="FFFFFF" w:val="clear"/>
          </w:tcPr>
          <w:p>
            <w:r>
              <w:rPr>
                <w:b/>
                <w:bCs/>
                <w:color w:val="7F8C8D"/>
              </w:rPr>
              <w:t xml:space="preserve">BAIXA</w:t>
            </w:r>
          </w:p>
        </w:tc>
        <w:tc>
          <w:tcPr>
            <w:tcW w:type="dxa" w:w="2500"/>
            <w:shd w:fill="FFFFFF" w:val="clear"/>
          </w:tcPr>
          <w:p>
            <w:r>
              <w:t xml:space="preserve">3</w:t>
            </w:r>
          </w:p>
        </w:tc>
        <w:tc>
          <w:tcPr>
            <w:tcW w:type="dxa" w:w="2500"/>
            <w:shd w:fill="FFFFFF" w:val="clear"/>
          </w:tcPr>
          <w:p>
            <w:r>
              <w:t xml:space="preserve">Código / Organização</w:t>
            </w:r>
          </w:p>
        </w:tc>
      </w:tr>
    </w:tbl>
    <w:p>
      <w:pPr>
        <w:spacing w:after="200"/>
      </w:pPr>
    </w:p>
    <w:p>
      <w:pPr>
        <w:pStyle w:val="Heading1"/>
        <w:spacing w:after="200" w:before="400"/>
      </w:pPr>
      <w:r>
        <w:t xml:space="preserve">Metodologia e Escopo</w:t>
      </w:r>
    </w:p>
    <w:p>
      <w:pPr>
        <w:pStyle w:val="ListParagraph"/>
        <w:numPr>
          <w:ilvl w:val="0"/>
          <w:numId w:val="1"/>
        </w:numPr>
        <w:spacing w:after="60"/>
      </w:pPr>
      <w:r>
        <w:t xml:space="preserve">Análise estática de todo o código-fonte da pasta açaifoodV1 (app Next.js em apps/mobile, Edge Functions em supabase/functions, migrations SQL em supabase/migrations e patches na raiz), com acesso somente leitura ao computador do usuário.</w:t>
      </w:r>
    </w:p>
    <w:p>
      <w:pPr>
        <w:pStyle w:val="ListParagraph"/>
        <w:numPr>
          <w:ilvl w:val="0"/>
          <w:numId w:val="1"/>
        </w:numPr>
        <w:spacing w:after="60"/>
      </w:pPr>
      <w:r>
        <w:t xml:space="preserve">Não foram executados comandos no app, nem alterações no banco de dados, contas Asaas/Supabase ou repositório Git.</w:t>
      </w:r>
    </w:p>
    <w:p>
      <w:pPr>
        <w:pStyle w:val="ListParagraph"/>
        <w:numPr>
          <w:ilvl w:val="0"/>
          <w:numId w:val="1"/>
        </w:numPr>
        <w:spacing w:after="60"/>
      </w:pPr>
      <w:r>
        <w:t xml:space="preserve">Limitações: (a) não houve acesso ao histórico do Git (git log/blame), então não foi possível confirmar se segredos já foram commitados no passado; (b) não houve acesso aos painéis do Supabase/Asaas/Vercel para conferir quais variáveis de ambiente estão de fato configuradas em produção; (c) o registro npm estava fora da lista de acesso liberada neste ambiente, então a varredura de dependências combinou a leitura manual do package.json com busca de avisos de segurança publicados; (d) arquivos de interface muito grandes (ex.: telas de admin e parceiros) foram avaliados por tamanho/estrutura, não linha a linha.</w:t>
      </w:r>
    </w:p>
    <w:p>
      <w:pPr>
        <w:pStyle w:val="Heading1"/>
        <w:spacing w:after="200" w:before="400"/>
      </w:pPr>
      <w:r>
        <w:t xml:space="preserve">1. Segurança — Chaves Expostas e Vulnerabilidades</w:t>
      </w:r>
    </w:p>
    <w:p>
      <w:pPr>
        <w:spacing w:after="80" w:before="200"/>
      </w:pPr>
      <w:r>
        <w:rPr>
          <w:b/>
          <w:bCs/>
          <w:color w:val="C0392B"/>
        </w:rPr>
        <w:t xml:space="preserve">[CRÍTICA] </w:t>
      </w:r>
      <w:r>
        <w:rPr>
          <w:b/>
          <w:bCs/>
        </w:rPr>
        <w:t xml:space="preserve">1.1 Qualquer usuário pode virar administrador alterando o próprio perfil</w:t>
      </w:r>
    </w:p>
    <w:p>
      <w:pPr>
        <w:pStyle w:val="ListParagraph"/>
        <w:numPr>
          <w:ilvl w:val="0"/>
          <w:numId w:val="1"/>
        </w:numPr>
        <w:spacing w:after="60"/>
      </w:pPr>
      <w:r>
        <w:t xml:space="preserve">A política RLS de UPDATE da tabela public.users (security_patch_v2.sql) permite que o próprio usuário atualize sua linha (id = auth.uid()) sem nenhuma restrição de coluna. Como não existe trigger ou WITH CHECK bloqueando os campos role/is_admin, qualquer usuário autenticado pode chamar supabase.from('users').update({ role: 'admin' }) e se promover a administrador.</w:t>
      </w:r>
    </w:p>
    <w:p>
      <w:pPr>
        <w:pStyle w:val="ListParagraph"/>
        <w:numPr>
          <w:ilvl w:val="0"/>
          <w:numId w:val="1"/>
        </w:numPr>
        <w:spacing w:after="60"/>
      </w:pPr>
      <w:r>
        <w:t xml:space="preserve">Mais grave ainda: a política de INSERT é WITH CHECK (true) — ou seja, um usuário pode criar seu próprio registro em public.users já com role: 'admin' no momento do cadastro, sem passar por nenhuma validação.</w:t>
      </w:r>
    </w:p>
    <w:p>
      <w:pPr>
        <w:pStyle w:val="ListParagraph"/>
        <w:numPr>
          <w:ilvl w:val="0"/>
          <w:numId w:val="1"/>
        </w:numPr>
        <w:spacing w:after="60"/>
      </w:pPr>
      <w:r>
        <w:t xml:space="preserve">Impacto: acesso total ao painel /admin, incluindo exclusão de qualquer usuário, zeragem de balanços financeiros e limpeza de todos os pedidos (rotas /api/admin/*).</w:t>
      </w:r>
    </w:p>
    <w:p>
      <w:pPr>
        <w:pStyle w:val="ListParagraph"/>
        <w:numPr>
          <w:ilvl w:val="0"/>
          <w:numId w:val="1"/>
        </w:numPr>
        <w:spacing w:after="60"/>
      </w:pPr>
      <w:r>
        <w:t xml:space="preserve">Recomendação: mover role/is_admin para fora do controle do próprio usuário (trigger BEFORE UPDATE/INSERT que preserva o valor antigo salvo quando a alteração vier de uma função SECURITY DEFINER controlada pelo admin, ou tabela separada de papéis gerenciada só por service role).</w:t>
      </w:r>
    </w:p>
    <w:p>
      <w:pPr>
        <w:spacing w:after="80" w:before="200"/>
      </w:pPr>
      <w:r>
        <w:rPr>
          <w:b/>
          <w:bCs/>
          <w:color w:val="C0392B"/>
        </w:rPr>
        <w:t xml:space="preserve">[CRÍTICA] </w:t>
      </w:r>
      <w:r>
        <w:rPr>
          <w:b/>
          <w:bCs/>
        </w:rPr>
        <w:t xml:space="preserve">1.2 Bypass de administrador por e-mail contendo a palavra 'admin'</w:t>
      </w:r>
    </w:p>
    <w:p>
      <w:pPr>
        <w:pStyle w:val="ListParagraph"/>
        <w:numPr>
          <w:ilvl w:val="0"/>
          <w:numId w:val="1"/>
        </w:numPr>
        <w:spacing w:after="60"/>
      </w:pPr>
      <w:r>
        <w:t xml:space="preserve">Em apps/mobile/src/lib/apiAuth.ts, a verificação de admin aceita: user.email?.toLowerCase().includes('admin'). Qualquer pessoa que se cadastre com um e-mail contendo essa substring (ex.: meuadmin2026@gmail.com) passa a ser tratada como administrador em qualquer rota que exija o papel 'admin', incluindo exclusão de usuários e reset de balanços.</w:t>
      </w:r>
    </w:p>
    <w:p>
      <w:pPr>
        <w:pStyle w:val="ListParagraph"/>
        <w:numPr>
          <w:ilvl w:val="0"/>
          <w:numId w:val="1"/>
        </w:numPr>
        <w:spacing w:after="60"/>
      </w:pPr>
      <w:r>
        <w:t xml:space="preserve">Recomendação: remover completamente essa checagem por e-mail; usar apenas o papel gravado no banco (e depois de corrigir o item 1.1).</w:t>
      </w:r>
    </w:p>
    <w:p>
      <w:pPr>
        <w:spacing w:after="80" w:before="200"/>
      </w:pPr>
      <w:r>
        <w:rPr>
          <w:b/>
          <w:bCs/>
          <w:color w:val="C0392B"/>
        </w:rPr>
        <w:t xml:space="preserve">[CRÍTICA] </w:t>
      </w:r>
      <w:r>
        <w:rPr>
          <w:b/>
          <w:bCs/>
        </w:rPr>
        <w:t xml:space="preserve">1.3 Split de pagamento e valor da cobrança controlados pelo cliente (desvio de dinheiro)</w:t>
      </w:r>
    </w:p>
    <w:p>
      <w:pPr>
        <w:pStyle w:val="ListParagraph"/>
        <w:numPr>
          <w:ilvl w:val="0"/>
          <w:numId w:val="1"/>
        </w:numPr>
        <w:spacing w:after="60"/>
      </w:pPr>
      <w:r>
        <w:t xml:space="preserve">A rota POST /api/asaas/checkout recebe value e split diretamente do corpo da requisição enviada pelo navegador do cliente e os repassa quase sem validação para a API do Asaas. Não há recomputação do valor total a partir dos itens reais do pedido, nem verificação de que os walletId do split pertencem de fato aos parceiros/plataforma esperados para aquele pedido.</w:t>
      </w:r>
    </w:p>
    <w:p>
      <w:pPr>
        <w:pStyle w:val="ListParagraph"/>
        <w:numPr>
          <w:ilvl w:val="0"/>
          <w:numId w:val="1"/>
        </w:numPr>
        <w:spacing w:after="60"/>
      </w:pPr>
      <w:r>
        <w:t xml:space="preserve">Isso permite dois ataques: (a) um cliente mal-intencionado pode alterar o value enviado para pagar menos do que o pedido realmente custa; (b) o mesmo cliente pode montar o split apontando para uma walletId Asaas própria (uma conta grátis que ele mesmo cria), redirecionando parte ou todo o valor do pagamento para si mesmo, mesmo que o produto seja entregue normalmente pela loja.</w:t>
      </w:r>
    </w:p>
    <w:p>
      <w:pPr>
        <w:pStyle w:val="ListParagraph"/>
        <w:numPr>
          <w:ilvl w:val="0"/>
          <w:numId w:val="1"/>
        </w:numPr>
        <w:spacing w:after="60"/>
      </w:pPr>
      <w:r>
        <w:t xml:space="preserve">Recomendação: calcular value e o split inteiramente no servidor a partir dos dados do pedido já salvos no banco (order_items, storefront, taxas configuradas), ignorando qualquer valor financeiro vindo do corpo da requisição do cliente.</w:t>
      </w:r>
    </w:p>
    <w:p>
      <w:pPr>
        <w:spacing w:after="80" w:before="200"/>
      </w:pPr>
      <w:r>
        <w:rPr>
          <w:b/>
          <w:bCs/>
          <w:color w:val="C0392B"/>
        </w:rPr>
        <w:t xml:space="preserve">[CRÍTICA] </w:t>
      </w:r>
      <w:r>
        <w:rPr>
          <w:b/>
          <w:bCs/>
        </w:rPr>
        <w:t xml:space="preserve">1.4 Transferências Pix (/api/asaas/transfer) sem checagem de saldo disponível</w:t>
      </w:r>
    </w:p>
    <w:p>
      <w:pPr>
        <w:pStyle w:val="ListParagraph"/>
        <w:numPr>
          <w:ilvl w:val="0"/>
          <w:numId w:val="1"/>
        </w:numPr>
        <w:spacing w:after="60"/>
      </w:pPr>
      <w:r>
        <w:t xml:space="preserve">Qualquer parceiro autenticado (loja, fornecedor ou motorista) pode chamar esta rota informando um value arbitrário. Quando um orderId é informado, o código só verifica se aquele pedido específico já foi pago (anti-duplicidade) — nunca confere se o value pedido corresponde ao valor realmente devido pelo pedido. Um motorista poderia, por exemplo, informar o ID de uma corrida real de R$ 8 e um value de R$ 800.</w:t>
      </w:r>
    </w:p>
    <w:p>
      <w:pPr>
        <w:pStyle w:val="ListParagraph"/>
        <w:numPr>
          <w:ilvl w:val="0"/>
          <w:numId w:val="1"/>
        </w:numPr>
        <w:spacing w:after="60"/>
      </w:pPr>
      <w:r>
        <w:t xml:space="preserve">Recomendação: o valor da transferência nunca deve vir do corpo da requisição — deve ser calculado/lido do próprio pedido no banco (mesma lógica seguida no payout-sweep) e comparado contra o saldo disponível do parceiro antes de qualquer chamada real à API do Asaas.</w:t>
      </w:r>
    </w:p>
    <w:p>
      <w:pPr>
        <w:spacing w:after="80" w:before="200"/>
      </w:pPr>
      <w:r>
        <w:rPr>
          <w:b/>
          <w:bCs/>
          <w:color w:val="C0392B"/>
        </w:rPr>
        <w:t xml:space="preserve">[CRÍTICA] </w:t>
      </w:r>
      <w:r>
        <w:rPr>
          <w:b/>
          <w:bCs/>
        </w:rPr>
        <w:t xml:space="preserve">1.5 Possibilidade de forjar confirmação de pagamento (webhook falso)</w:t>
      </w:r>
    </w:p>
    <w:p>
      <w:pPr>
        <w:pStyle w:val="ListParagraph"/>
        <w:numPr>
          <w:ilvl w:val="0"/>
          <w:numId w:val="1"/>
        </w:numPr>
        <w:spacing w:after="60"/>
      </w:pPr>
      <w:r>
        <w:t xml:space="preserve">A função isValidAsaasWebhook (apps/mobile/src/lib/apiAuth.ts) aceita como prova de autenticidade o mesmo INTERNAL_API_SECRET usado para proteger rotas internas administrativas, além de um token estático (WEBHOOK_SECRET) que também aparece em texto puro no arquivo .env.local (inclusive dentro do comentário com a própria URL do webhook). Qualquer um que descubra esse valor pode enviar um POST para /api/asaas/status simulando um pagamento aprovado para qualquer orderId, fazendo o pedido virar PAID (e gerar PIN de entrega) sem pagamento real.</w:t>
      </w:r>
    </w:p>
    <w:p>
      <w:pPr>
        <w:pStyle w:val="ListParagraph"/>
        <w:numPr>
          <w:ilvl w:val="0"/>
          <w:numId w:val="1"/>
        </w:numPr>
        <w:spacing w:after="60"/>
      </w:pPr>
      <w:r>
        <w:t xml:space="preserve">A Edge Function supabase/functions/asaas-webhook/index.ts tem o mesmo problema de forma ainda mais direta: 'if (expectedToken &amp;&amp; webhookTokenHeader !== expectedToken)' — se o segredo ASAAS_WEBHOOK_TOKEN não estiver configurado nos Secrets do Supabase, a validação inteira é pulada e QUALQUER chamada é aceita como webhook legítimo (falha aberta / fail-open).</w:t>
      </w:r>
    </w:p>
    <w:p>
      <w:pPr>
        <w:pStyle w:val="ListParagraph"/>
        <w:numPr>
          <w:ilvl w:val="0"/>
          <w:numId w:val="1"/>
        </w:numPr>
        <w:spacing w:after="60"/>
      </w:pPr>
      <w:r>
        <w:t xml:space="preserve">Recomendação: usar um segredo dedicado, longo e aleatório só para o webhook (nunca reaproveitado como segredo interno de outras rotas); fazer a Edge Function recusar a requisição quando o segredo não estiver configurado, em vez de aceitar tudo.</w:t>
      </w:r>
    </w:p>
    <w:p>
      <w:pPr>
        <w:spacing w:after="80" w:before="200"/>
      </w:pPr>
      <w:r>
        <w:rPr>
          <w:b/>
          <w:bCs/>
          <w:color w:val="E67E22"/>
        </w:rPr>
        <w:t xml:space="preserve">[ALTA] </w:t>
      </w:r>
      <w:r>
        <w:rPr>
          <w:b/>
          <w:bCs/>
        </w:rPr>
        <w:t xml:space="preserve">1.6 Segredos de produção em texto puro no .env.local</w:t>
      </w:r>
    </w:p>
    <w:p>
      <w:pPr>
        <w:pStyle w:val="ListParagraph"/>
        <w:numPr>
          <w:ilvl w:val="0"/>
          <w:numId w:val="1"/>
        </w:numPr>
        <w:spacing w:after="60"/>
      </w:pPr>
      <w:r>
        <w:t xml:space="preserve">O arquivo apps/mobile/.env.local contém, em texto puro: a chave de produção do Asaas (aact_prod_...), a Service Role Key do Supabase (acesso total ao banco, ignora RLS), e os segredos internos da aplicação. O arquivo raiz .env.local contém um VERCEL_OIDC_TOKEN.</w:t>
      </w:r>
    </w:p>
    <w:p>
      <w:pPr>
        <w:pStyle w:val="ListParagraph"/>
        <w:numPr>
          <w:ilvl w:val="0"/>
          <w:numId w:val="1"/>
        </w:numPr>
        <w:spacing w:after="60"/>
      </w:pPr>
      <w:r>
        <w:t xml:space="preserve">Ponto positivo: tanto .gitignore da raiz quanto o de apps/mobile listam .env* — ou seja, esses arquivos não deveriam ser versionados daqui para frente. Não foi possível confirmar (sem acesso ao histórico do Git) se alguma versão anterior desses arquivos já chegou a ser commitada.</w:t>
      </w:r>
    </w:p>
    <w:p>
      <w:pPr>
        <w:pStyle w:val="ListParagraph"/>
        <w:numPr>
          <w:ilvl w:val="0"/>
          <w:numId w:val="1"/>
        </w:numPr>
        <w:spacing w:after="60"/>
      </w:pPr>
      <w:r>
        <w:t xml:space="preserve">Recomendação: rodar 'git log --all --full-history -- **/.env*' para confirmar que nunca foram commitados; caso tenham sido, rotacionar TODAS as chaves (Asaas, Supabase, segredos internos) e reescrever o histórico. Independentemente disso, mover esses segredos para o cofre de variáveis de ambiente da Vercel/Supabase e nunca deixá-los em arquivo local em máquinas compartilhadas.</w:t>
      </w:r>
    </w:p>
    <w:p>
      <w:pPr>
        <w:spacing w:after="80" w:before="200"/>
      </w:pPr>
      <w:r>
        <w:rPr>
          <w:b/>
          <w:bCs/>
          <w:color w:val="E67E22"/>
        </w:rPr>
        <w:t xml:space="preserve">[ALTA] </w:t>
      </w:r>
      <w:r>
        <w:rPr>
          <w:b/>
          <w:bCs/>
        </w:rPr>
        <w:t xml:space="preserve">1.7 Segredo interno duplicado com prefixo público (NEXT_PUBLIC_)</w:t>
      </w:r>
    </w:p>
    <w:p>
      <w:pPr>
        <w:pStyle w:val="ListParagraph"/>
        <w:numPr>
          <w:ilvl w:val="0"/>
          <w:numId w:val="1"/>
        </w:numPr>
        <w:spacing w:after="60"/>
      </w:pPr>
      <w:r>
        <w:t xml:space="preserve">O .env.local define tanto INTERNAL_API_SECRET quanto NEXT_PUBLIC_INTERNAL_API_SECRET com o mesmo valor. Qualquer variável com prefixo NEXT_PUBLIC_ é embutida no JavaScript enviado ao navegador pelo Next.js assim que qualquer componente cliente a referenciar. Hoje esse segredo só é lido em código de servidor (lib/apiAuth.ts), então não está vazando no bundle atual — mas basta um desenvolvedor futuro importar essa variável num componente 'use client' para expor publicamente a chave-mestra que autoriza transferências, reembolsos e rotas administrativas.</w:t>
      </w:r>
    </w:p>
    <w:p>
      <w:pPr>
        <w:pStyle w:val="ListParagraph"/>
        <w:numPr>
          <w:ilvl w:val="0"/>
          <w:numId w:val="1"/>
        </w:numPr>
        <w:spacing w:after="60"/>
      </w:pPr>
      <w:r>
        <w:t xml:space="preserve">Recomendação: eliminar a versão NEXT_PUBLIC_ desse segredo; ele nunca deveria existir com esse prefixo.</w:t>
      </w:r>
    </w:p>
    <w:p>
      <w:pPr>
        <w:spacing w:after="80" w:before="200"/>
      </w:pPr>
      <w:r>
        <w:rPr>
          <w:b/>
          <w:bCs/>
          <w:color w:val="E67E22"/>
        </w:rPr>
        <w:t xml:space="preserve">[ALTA] </w:t>
      </w:r>
      <w:r>
        <w:rPr>
          <w:b/>
          <w:bCs/>
        </w:rPr>
        <w:t xml:space="preserve">1.8 Rota de ativação sem autenticação</w:t>
      </w:r>
    </w:p>
    <w:p>
      <w:pPr>
        <w:pStyle w:val="ListParagraph"/>
        <w:numPr>
          <w:ilvl w:val="0"/>
          <w:numId w:val="1"/>
        </w:numPr>
        <w:spacing w:after="60"/>
      </w:pPr>
      <w:r>
        <w:t xml:space="preserve">POST /api/asaas/activation não chama authorizeRequest — aceita userId de qualquer chamador não autenticado e pode marcar o usuário como 'active' (vaga de fundador) ou gerar uma cobrança Pix real no Asaas para qualquer CPF/e-mail informado. Não há verificação de que o chamador é o dono do userId.</w:t>
      </w:r>
    </w:p>
    <w:p>
      <w:pPr>
        <w:pStyle w:val="ListParagraph"/>
        <w:numPr>
          <w:ilvl w:val="0"/>
          <w:numId w:val="1"/>
        </w:numPr>
        <w:spacing w:after="60"/>
      </w:pPr>
      <w:r>
        <w:t xml:space="preserve">Recomendação: exigir autenticação (JWT do próprio usuário ou admin) e validar que o userId corresponde ao usuário autenticado.</w:t>
      </w:r>
    </w:p>
    <w:p>
      <w:pPr>
        <w:spacing w:after="80" w:before="200"/>
      </w:pPr>
      <w:r>
        <w:rPr>
          <w:b/>
          <w:bCs/>
          <w:color w:val="D4AC0D"/>
        </w:rPr>
        <w:t xml:space="preserve">[MÉDIA] </w:t>
      </w:r>
      <w:r>
        <w:rPr>
          <w:b/>
          <w:bCs/>
        </w:rPr>
        <w:t xml:space="preserve">1.9 Checagem de papel administrador inconsistente entre módulos</w:t>
      </w:r>
    </w:p>
    <w:p>
      <w:pPr>
        <w:pStyle w:val="ListParagraph"/>
        <w:numPr>
          <w:ilvl w:val="0"/>
          <w:numId w:val="1"/>
        </w:numPr>
        <w:spacing w:after="60"/>
      </w:pPr>
      <w:r>
        <w:t xml:space="preserve">supabase/functions/remove-account/index.ts exige role === 'ADMIN' (maiúsculas exatas), enquanto o restante do sistema (is_admin(), apiAuth.ts) trata 'admin' minúsculo como o valor padrão. Um administrador real cadastrado com role='admin' (o padrão usado em todo o resto do app) seria bloqueado nesta Edge Function específica.</w:t>
      </w:r>
    </w:p>
    <w:p>
      <w:pPr>
        <w:pStyle w:val="ListParagraph"/>
        <w:numPr>
          <w:ilvl w:val="0"/>
          <w:numId w:val="1"/>
        </w:numPr>
        <w:spacing w:after="60"/>
      </w:pPr>
      <w:r>
        <w:t xml:space="preserve">Recomendação: centralizar a checagem de papel em uma única função reutilizada por toda rota/Edge Function, com comparação case-insensitive.</w:t>
      </w:r>
    </w:p>
    <w:p>
      <w:pPr>
        <w:spacing w:after="80" w:before="200"/>
      </w:pPr>
      <w:r>
        <w:rPr>
          <w:b/>
          <w:bCs/>
          <w:color w:val="D4AC0D"/>
        </w:rPr>
        <w:t xml:space="preserve">[MÉDIA] </w:t>
      </w:r>
      <w:r>
        <w:rPr>
          <w:b/>
          <w:bCs/>
        </w:rPr>
        <w:t xml:space="preserve">1.10 Manual interno afirma proteções que o código não implementa</w:t>
      </w:r>
    </w:p>
    <w:p>
      <w:pPr>
        <w:pStyle w:val="ListParagraph"/>
        <w:numPr>
          <w:ilvl w:val="0"/>
          <w:numId w:val="1"/>
        </w:numPr>
        <w:spacing w:after="60"/>
      </w:pPr>
      <w:r>
        <w:t xml:space="preserve">O documento MANUAL_COMPLETO_E_AUDITORIA_ACAIFOOD.md declara que 'todos os endpoints exigem validação rigorosa... eliminando qualquer possibilidade de spoofing de headers' e que o RLS 'garante que nenhum usuário acesse dados de terceiros'. Os achados 1.1 a 1.5 mostram que isso não corresponde à implementação atual.</w:t>
      </w:r>
    </w:p>
    <w:p>
      <w:pPr>
        <w:pStyle w:val="ListParagraph"/>
        <w:numPr>
          <w:ilvl w:val="0"/>
          <w:numId w:val="1"/>
        </w:numPr>
        <w:spacing w:after="60"/>
      </w:pPr>
      <w:r>
        <w:t xml:space="preserve">Recomendação: tratar documentos de auditoria/manual como vivos — atualizar após cada correção real, e não usá-los como prova de conformidade sem reverificação independente periódica.</w:t>
      </w:r>
    </w:p>
    <w:p>
      <w:pPr>
        <w:pStyle w:val="Heading1"/>
        <w:spacing w:after="200" w:before="400"/>
      </w:pPr>
      <w:r>
        <w:t xml:space="preserve">2. Financeiro</w:t>
      </w:r>
    </w:p>
    <w:p>
      <w:pPr>
        <w:spacing w:after="120"/>
      </w:pPr>
      <w:r>
        <w:t xml:space="preserve">Além dos itens 1.3, 1.4 e 1.5 acima (que são simultaneamente falhas de segurança e financeiras), a análise do fluxo de dinheiro encontrou:</w:t>
      </w:r>
    </w:p>
    <w:p>
      <w:pPr>
        <w:spacing w:after="80" w:before="200"/>
      </w:pPr>
      <w:r>
        <w:rPr>
          <w:b/>
          <w:bCs/>
          <w:color w:val="C0392B"/>
        </w:rPr>
        <w:t xml:space="preserve">[CRÍTICA] </w:t>
      </w:r>
      <w:r>
        <w:rPr>
          <w:b/>
          <w:bCs/>
        </w:rPr>
        <w:t xml:space="preserve">2.1 Bug de execução trava a varredura automática de repasses (payout-sweep)</w:t>
      </w:r>
    </w:p>
    <w:p>
      <w:pPr>
        <w:pStyle w:val="ListParagraph"/>
        <w:numPr>
          <w:ilvl w:val="0"/>
          <w:numId w:val="1"/>
        </w:numPr>
        <w:spacing w:after="60"/>
      </w:pPr>
      <w:r>
        <w:t xml:space="preserve">Em supabase/functions/payout-sweep/index.ts, linha 67, o código usa a variável isSandbox num console.log, mas essa variável nunca é declarada em nenhum lugar do arquivo. Em JavaScript/TypeScript (Deno), isso gera um ReferenceError e interrompe a execução da função assim que ela é chamada — ou seja, se esta função está agendada (cron) para rodar diariamente às 22h como descrito no manual do projeto, ela está falhando silenciosamente em toda execução, e nenhum repasse automático está de fato acontecendo por esse caminho.</w:t>
      </w:r>
    </w:p>
    <w:p>
      <w:pPr>
        <w:pStyle w:val="ListParagraph"/>
        <w:numPr>
          <w:ilvl w:val="0"/>
          <w:numId w:val="1"/>
        </w:numPr>
        <w:spacing w:after="60"/>
      </w:pPr>
      <w:r>
        <w:t xml:space="preserve">Recomendação: declarar isSandbox (ex.: a partir do prefixo da ASAAS_API_KEY, mesma lógica de getAsaasBaseUrl) e adicionar testes/alertas de monitoramento para esta função crítica.</w:t>
      </w:r>
    </w:p>
    <w:p>
      <w:pPr>
        <w:spacing w:after="80" w:before="200"/>
      </w:pPr>
      <w:r>
        <w:rPr>
          <w:b/>
          <w:bCs/>
          <w:color w:val="E67E22"/>
        </w:rPr>
        <w:t xml:space="preserve">[ALTA] </w:t>
      </w:r>
      <w:r>
        <w:rPr>
          <w:b/>
          <w:bCs/>
        </w:rPr>
        <w:t xml:space="preserve">2.2 Repasse marcado como concluído mesmo quando a transferência falha</w:t>
      </w:r>
    </w:p>
    <w:p>
      <w:pPr>
        <w:pStyle w:val="ListParagraph"/>
        <w:numPr>
          <w:ilvl w:val="0"/>
          <w:numId w:val="1"/>
        </w:numPr>
        <w:spacing w:after="60"/>
      </w:pPr>
      <w:r>
        <w:t xml:space="preserve">Ainda em payout-sweep, tanto para o vendedor quanto para o motorista, o código executa 'await supabase.from('orders').update({ payout_seller_done: true })' logo após a chamada à API do Asaas, independentemente do resultado (comentário no próprio código: 'Marcar como pago independentemente do resultado'). Se a transferência falhar (saldo insuficiente na conta master do Asaas, chave Pix inválida, conta suspensa etc.), o pedido fica marcado como pago para o parceiro, mas o dinheiro nunca chega até ele — e como o flag já foi setado, o sistema nunca tentará de novo.</w:t>
      </w:r>
    </w:p>
    <w:p>
      <w:pPr>
        <w:pStyle w:val="ListParagraph"/>
        <w:numPr>
          <w:ilvl w:val="0"/>
          <w:numId w:val="1"/>
        </w:numPr>
        <w:spacing w:after="60"/>
      </w:pPr>
      <w:r>
        <w:t xml:space="preserve">Recomendação: só marcar como concluído quando a API do Asaas confirmar sucesso; em caso de falha, registrar em uma fila de erros/reconciliação para nova tentativa manual ou automática, e alertar o time.</w:t>
      </w:r>
    </w:p>
    <w:p>
      <w:pPr>
        <w:spacing w:after="80" w:before="200"/>
      </w:pPr>
      <w:r>
        <w:rPr>
          <w:b/>
          <w:bCs/>
          <w:color w:val="D4AC0D"/>
        </w:rPr>
        <w:t xml:space="preserve">[MÉDIA] </w:t>
      </w:r>
      <w:r>
        <w:rPr>
          <w:b/>
          <w:bCs/>
        </w:rPr>
        <w:t xml:space="preserve">2.3 Reembolso parcial sem validação de valor já reembolsado</w:t>
      </w:r>
    </w:p>
    <w:p>
      <w:pPr>
        <w:pStyle w:val="ListParagraph"/>
        <w:numPr>
          <w:ilvl w:val="0"/>
          <w:numId w:val="1"/>
        </w:numPr>
        <w:spacing w:after="60"/>
      </w:pPr>
      <w:r>
        <w:t xml:space="preserve">A rota /api/asaas/refund aceita um value opcional vindo do cliente para reembolso parcial, sem consultar quanto já foi reembolsado anteriormente para o mesmo pagamento. O Asaas provavelmente rejeita valores maiores que o saldo da cobrança, mas múltiplos reembolsos parciais podem não ser reconciliados corretamente no lado do AçaíFood (não há tabela de histórico de reembolsos parciais, só um único campo asaas_refund_status por pedido).</w:t>
      </w:r>
    </w:p>
    <w:p>
      <w:pPr>
        <w:pStyle w:val="ListParagraph"/>
        <w:numPr>
          <w:ilvl w:val="0"/>
          <w:numId w:val="1"/>
        </w:numPr>
        <w:spacing w:after="60"/>
      </w:pPr>
      <w:r>
        <w:t xml:space="preserve">Recomendação: manter um registro append-only de cada solicitação/execução de reembolso por pedido.</w:t>
      </w:r>
    </w:p>
    <w:p>
      <w:pPr>
        <w:spacing w:after="80" w:before="200"/>
      </w:pPr>
      <w:r>
        <w:rPr>
          <w:b/>
          <w:bCs/>
          <w:color w:val="D4AC0D"/>
        </w:rPr>
        <w:t xml:space="preserve">[MÉDIA] </w:t>
      </w:r>
      <w:r>
        <w:rPr>
          <w:b/>
          <w:bCs/>
        </w:rPr>
        <w:t xml:space="preserve">2.4 Excesso de dados financeiros sensíveis em logs (console.log)</w:t>
      </w:r>
    </w:p>
    <w:p>
      <w:pPr>
        <w:pStyle w:val="ListParagraph"/>
        <w:numPr>
          <w:ilvl w:val="0"/>
          <w:numId w:val="1"/>
        </w:numPr>
        <w:spacing w:after="60"/>
      </w:pPr>
      <w:r>
        <w:t xml:space="preserve">Rotas financeiras registram no log o corpo completo das transferências (chave Pix, valores, IDs) — por exemplo em /api/asaas/transfer: console.log(... JSON.stringify(transferBody)). Esses logs ficam acessíveis a qualquer pessoa com acesso ao painel da Vercel/Supabase do projeto, e não deveriam conter dados de Pix/CPF em texto puro.</w:t>
      </w:r>
    </w:p>
    <w:p>
      <w:pPr>
        <w:pStyle w:val="ListParagraph"/>
        <w:numPr>
          <w:ilvl w:val="0"/>
          <w:numId w:val="1"/>
        </w:numPr>
        <w:spacing w:after="60"/>
      </w:pPr>
      <w:r>
        <w:t xml:space="preserve">Recomendação: logar apenas identificadores (orderId, paymentId) e nunca a chave Pix ou o valor completo em texto livre; usar um serviço de log estruturado com redação automática de campos sensíveis.</w:t>
      </w:r>
    </w:p>
    <w:p>
      <w:pPr>
        <w:pStyle w:val="Heading1"/>
        <w:spacing w:after="200" w:before="400"/>
      </w:pPr>
      <w:r>
        <w:t xml:space="preserve">3. Fluxo Operacional</w:t>
      </w:r>
    </w:p>
    <w:p>
      <w:pPr>
        <w:spacing w:after="120"/>
      </w:pPr>
      <w:r>
        <w:t xml:space="preserve">O fluxo desenhado no código confere, em geral, com o descrito no manual do projeto (B2C: Cliente → Batedeira → Motoboy; B2B: Batedeira → Fornecedor → Caminhoneiro; reversa: Batedeira → Caçamba/EcoPonto), com pontos fortes e pontos de atenção:</w:t>
      </w:r>
    </w:p>
    <w:p>
      <w:pPr>
        <w:spacing w:after="80" w:before="200"/>
      </w:pPr>
      <w:r>
        <w:rPr>
          <w:b/>
          <w:bCs/>
          <w:color w:val="1E8449"/>
        </w:rPr>
        <w:t xml:space="preserve">[POSITIVO] </w:t>
      </w:r>
      <w:r>
        <w:rPr>
          <w:b/>
          <w:bCs/>
        </w:rPr>
        <w:t xml:space="preserve">3.1 PIN de entrega bem implementado</w:t>
      </w:r>
    </w:p>
    <w:p>
      <w:pPr>
        <w:pStyle w:val="ListParagraph"/>
        <w:numPr>
          <w:ilvl w:val="0"/>
          <w:numId w:val="1"/>
        </w:numPr>
        <w:spacing w:after="60"/>
      </w:pPr>
      <w:r>
        <w:t xml:space="preserve">O PIN de 4 dígitos é gerado no servidor, armazenado com hash (crypt/pgcrypto — nunca em texto puro), com limite de 5 tentativas e cooldown de 5 segundos entre tentativas (supabase/migrations/20260830000000_complete_audit_and_security_core.sql). Esse é um dos pontos mais bem construídos do projeto.</w:t>
      </w:r>
    </w:p>
    <w:p>
      <w:pPr>
        <w:spacing w:after="80" w:before="200"/>
      </w:pPr>
      <w:r>
        <w:rPr>
          <w:b/>
          <w:bCs/>
          <w:color w:val="D4AC0D"/>
        </w:rPr>
        <w:t xml:space="preserve">[MÉDIA] </w:t>
      </w:r>
      <w:r>
        <w:rPr>
          <w:b/>
          <w:bCs/>
        </w:rPr>
        <w:t xml:space="preserve">3.2 Cálculo de repasse depende de campos que o próprio comprador grava no pedido</w:t>
      </w:r>
    </w:p>
    <w:p>
      <w:pPr>
        <w:pStyle w:val="ListParagraph"/>
        <w:numPr>
          <w:ilvl w:val="0"/>
          <w:numId w:val="1"/>
        </w:numPr>
        <w:spacing w:after="60"/>
      </w:pPr>
      <w:r>
        <w:t xml:space="preserve">A política de INSERT de orders permite que o comprador (buyer_id = auth.uid()) grave livremente campos como products_subtotal, delivery_distance_km e applied_delivery_fee_per_km, que são depois usados tanto pelo trigger de balanço financeiro (increment_admin_balances_on_received) quanto pelo cálculo de repasse no payout-sweep. Não foi possível confirmar, sem examinar o código completo do app cliente (arquivos muito grandes, fora do escopo desta leitura), se esses valores são sempre recalculados no servidor antes de gravar o pedido ou se podem ser manipulados via chamada direta à API do Supabase.</w:t>
      </w:r>
    </w:p>
    <w:p>
      <w:pPr>
        <w:pStyle w:val="ListParagraph"/>
        <w:numPr>
          <w:ilvl w:val="0"/>
          <w:numId w:val="1"/>
        </w:numPr>
        <w:spacing w:after="60"/>
      </w:pPr>
      <w:r>
        <w:t xml:space="preserve">Recomendação: adicionar um CHECK/trigger no banco que recalcule ou pelo menos valide products_subtotal e a distância contra limites plausíveis, e nunca confiar apenas na UI para essa validação.</w:t>
      </w:r>
    </w:p>
    <w:p>
      <w:pPr>
        <w:spacing w:after="80" w:before="200"/>
      </w:pPr>
      <w:r>
        <w:rPr>
          <w:b/>
          <w:bCs/>
          <w:color w:val="7F8C8D"/>
        </w:rPr>
        <w:t xml:space="preserve">[BAIXA] </w:t>
      </w:r>
      <w:r>
        <w:rPr>
          <w:b/>
          <w:bCs/>
        </w:rPr>
        <w:t xml:space="preserve">3.3 Regra de vagas de fundador replicada em três lugares</w:t>
      </w:r>
    </w:p>
    <w:p>
      <w:pPr>
        <w:pStyle w:val="ListParagraph"/>
        <w:numPr>
          <w:ilvl w:val="0"/>
          <w:numId w:val="1"/>
        </w:numPr>
        <w:spacing w:after="60"/>
      </w:pPr>
      <w:r>
        <w:t xml:space="preserve">A lógica de 'os primeiros N parceiros não pagam taxa de ativação' está duplicada, quase idêntica, em GET /api/asaas/activation, POST /api/asaas/activation e POST /api/asaas/subaccount. Qualquer mudança futura na regra de negócio precisa ser replicada manualmente nos três lugares, com risco real de ficarem inconsistentes.</w:t>
      </w:r>
    </w:p>
    <w:p>
      <w:pPr>
        <w:pStyle w:val="ListParagraph"/>
        <w:numPr>
          <w:ilvl w:val="0"/>
          <w:numId w:val="1"/>
        </w:numPr>
        <w:spacing w:after="60"/>
      </w:pPr>
      <w:r>
        <w:t xml:space="preserve">Recomendação: extrair para uma única função utilitária (ou RPC no banco) reutilizada pelas três rotas.</w:t>
      </w:r>
    </w:p>
    <w:p>
      <w:pPr>
        <w:pStyle w:val="Heading1"/>
        <w:spacing w:after="200" w:before="400"/>
      </w:pPr>
      <w:r>
        <w:t xml:space="preserve">4. Qualidade e Organização do Código</w:t>
      </w:r>
    </w:p>
    <w:p>
      <w:pPr>
        <w:spacing w:after="80" w:before="200"/>
      </w:pPr>
      <w:r>
        <w:rPr>
          <w:b/>
          <w:bCs/>
          <w:color w:val="D4AC0D"/>
        </w:rPr>
        <w:t xml:space="preserve">[MÉDIA] </w:t>
      </w:r>
      <w:r>
        <w:rPr>
          <w:b/>
          <w:bCs/>
        </w:rPr>
        <w:t xml:space="preserve">4.1 Arquivos monolíticos muito grandes</w:t>
      </w:r>
    </w:p>
    <w:p>
      <w:pPr>
        <w:pStyle w:val="ListParagraph"/>
        <w:numPr>
          <w:ilvl w:val="0"/>
          <w:numId w:val="1"/>
        </w:numPr>
        <w:spacing w:after="60"/>
      </w:pPr>
      <w:r>
        <w:t xml:space="preserve">store/useAppStore.ts tem 3.195 linhas (145 KB) concentrando praticamente todo o estado global da aplicação. As telas app/admin/page.tsx (~209 KB), app/page.tsx (~114 KB), app/parceiros/batedeira/page.tsx (~140 KB) e components/InteractiveVideoModal.tsx (~104 KB) também estão em um único arquivo cada. Isso dificulta manutenção, revisão de código e aumenta o risco de bugs por efeito colateral não percebido.</w:t>
      </w:r>
    </w:p>
    <w:p>
      <w:pPr>
        <w:pStyle w:val="ListParagraph"/>
        <w:numPr>
          <w:ilvl w:val="0"/>
          <w:numId w:val="1"/>
        </w:numPr>
        <w:spacing w:after="60"/>
      </w:pPr>
      <w:r>
        <w:t xml:space="preserve">Recomendação: quebrar o store em slices por domínio (pedidos, usuário, financeiro, UI) e dividir as telas grandes em subcomponentes menores.</w:t>
      </w:r>
    </w:p>
    <w:p>
      <w:pPr>
        <w:spacing w:after="80" w:before="200"/>
      </w:pPr>
      <w:r>
        <w:rPr>
          <w:b/>
          <w:bCs/>
          <w:color w:val="D4AC0D"/>
        </w:rPr>
        <w:t xml:space="preserve">[MÉDIA] </w:t>
      </w:r>
      <w:r>
        <w:rPr>
          <w:b/>
          <w:bCs/>
        </w:rPr>
        <w:t xml:space="preserve">4.2 Uso extensivo do tipo 'any'</w:t>
      </w:r>
    </w:p>
    <w:p>
      <w:pPr>
        <w:pStyle w:val="ListParagraph"/>
        <w:numPr>
          <w:ilvl w:val="0"/>
          <w:numId w:val="1"/>
        </w:numPr>
        <w:spacing w:after="60"/>
      </w:pPr>
      <w:r>
        <w:t xml:space="preserve">Foram contadas 141 ocorrências de ': any' ou 'as any' no código do app (apps/mobile/src), o que anula boa parte da proteção que o TypeScript deveria oferecer, especialmente arriscado nas rotas financeiras onde os tipos de payload do Asaas/Supabase deveriam ser explícitos.</w:t>
      </w:r>
    </w:p>
    <w:p>
      <w:pPr>
        <w:pStyle w:val="ListParagraph"/>
        <w:numPr>
          <w:ilvl w:val="0"/>
          <w:numId w:val="1"/>
        </w:numPr>
        <w:spacing w:after="60"/>
      </w:pPr>
      <w:r>
        <w:t xml:space="preserve">Recomendação: tipar ao menos as interfaces de request/response das integrações Asaas e Supabase, e ativar regras de lint que proíbam 'any' implícito em código novo.</w:t>
      </w:r>
    </w:p>
    <w:p>
      <w:pPr>
        <w:spacing w:after="80" w:before="200"/>
      </w:pPr>
      <w:r>
        <w:rPr>
          <w:b/>
          <w:bCs/>
          <w:color w:val="7F8C8D"/>
        </w:rPr>
        <w:t xml:space="preserve">[BAIXA] </w:t>
      </w:r>
      <w:r>
        <w:rPr>
          <w:b/>
          <w:bCs/>
        </w:rPr>
        <w:t xml:space="preserve">4.3 Lógica de resolução de chave Asaas/admin duplicada em várias rotas</w:t>
      </w:r>
    </w:p>
    <w:p>
      <w:pPr>
        <w:pStyle w:val="ListParagraph"/>
        <w:numPr>
          <w:ilvl w:val="0"/>
          <w:numId w:val="1"/>
        </w:numPr>
        <w:spacing w:after="60"/>
      </w:pPr>
      <w:r>
        <w:t xml:space="preserve">A lógica para decidir se o usuário é admin (String(role).toUpperCase() === 'ADMIN' || role === 'admin') e para buscar a chave do Asaas (getAsaasApiKey) é reimplementada com pequenas variações em quase todas as rotas de API, em vez de centralizada. Isso já causou pelo menos uma inconsistência real (achado 1.9).</w:t>
      </w:r>
    </w:p>
    <w:p>
      <w:pPr>
        <w:spacing w:after="80" w:before="200"/>
      </w:pPr>
      <w:r>
        <w:rPr>
          <w:b/>
          <w:bCs/>
          <w:color w:val="7F8C8D"/>
        </w:rPr>
        <w:t xml:space="preserve">[BAIXA] </w:t>
      </w:r>
      <w:r>
        <w:rPr>
          <w:b/>
          <w:bCs/>
        </w:rPr>
        <w:t xml:space="preserve">4.4 package-lock.json desatualizado em relação à estrutura atual do projeto</w:t>
      </w:r>
    </w:p>
    <w:p>
      <w:pPr>
        <w:pStyle w:val="ListParagraph"/>
        <w:numPr>
          <w:ilvl w:val="0"/>
          <w:numId w:val="1"/>
        </w:numPr>
        <w:spacing w:after="60"/>
      </w:pPr>
      <w:r>
        <w:t xml:space="preserve">O lockfile na raiz declara workspaces 'apps/*' e 'packages/*' e contém entradas para um pacote 'apps/admin' que não existe mais na pasta apps/ (hoje só existe apps/mobile). Isso indica que o projeto teve uma estrutura diferente no passado e o lockfile não foi regenerado, o que pode causar builds inconsistentes (npm install instalando ou tentando resolver um workspace inexistente).</w:t>
      </w:r>
    </w:p>
    <w:p>
      <w:pPr>
        <w:pStyle w:val="ListParagraph"/>
        <w:numPr>
          <w:ilvl w:val="0"/>
          <w:numId w:val="1"/>
        </w:numPr>
        <w:spacing w:after="60"/>
      </w:pPr>
      <w:r>
        <w:t xml:space="preserve">Recomendação: rodar 'npm install' na raiz para regenerar o package-lock.json e confirmar que ele reflete só os workspaces reais.</w:t>
      </w:r>
    </w:p>
    <w:p>
      <w:pPr>
        <w:spacing w:after="80" w:before="200"/>
      </w:pPr>
      <w:r>
        <w:rPr>
          <w:b/>
          <w:bCs/>
          <w:color w:val="D4AC0D"/>
        </w:rPr>
        <w:t xml:space="preserve">[MÉDIA] </w:t>
      </w:r>
      <w:r>
        <w:rPr>
          <w:b/>
          <w:bCs/>
        </w:rPr>
        <w:t xml:space="preserve">4.5 Muitos console.log em produção</w:t>
      </w:r>
    </w:p>
    <w:p>
      <w:pPr>
        <w:pStyle w:val="ListParagraph"/>
        <w:numPr>
          <w:ilvl w:val="0"/>
          <w:numId w:val="1"/>
        </w:numPr>
        <w:spacing w:after="60"/>
      </w:pPr>
      <w:r>
        <w:t xml:space="preserve">79 chamadas de console.* somente em store/useAppStore.ts, e dezenas nas rotas de API financeiras. Além do risco de exposição de dados (achado 2.4), isso afeta performance e polui os logs de produção, dificultando encontrar erros reais.</w:t>
      </w:r>
    </w:p>
    <w:p>
      <w:pPr>
        <w:pStyle w:val="Heading1"/>
        <w:spacing w:after="200" w:before="400"/>
      </w:pPr>
      <w:r>
        <w:t xml:space="preserve">5. Dependências</w:t>
      </w:r>
    </w:p>
    <w:p>
      <w:pPr>
        <w:spacing w:after="120"/>
      </w:pPr>
      <w:r>
        <w:t xml:space="preserve">O acesso ao registro do npm não estava disponível neste ambiente para rodar 'npm audit' diretamente; a verificação abaixo foi feita cruzando as versões do package.json com os boletins de segurança já publicados.</w:t>
      </w:r>
    </w:p>
    <w:p>
      <w:pPr>
        <w:spacing w:after="80" w:before="200"/>
      </w:pPr>
      <w:r>
        <w:rPr>
          <w:b/>
          <w:bCs/>
          <w:color w:val="E67E22"/>
        </w:rPr>
        <w:t xml:space="preserve">[ALTA] </w:t>
      </w:r>
      <w:r>
        <w:rPr>
          <w:b/>
          <w:bCs/>
        </w:rPr>
        <w:t xml:space="preserve">5.1 Next.js desatualizado em relação ao boletim de segurança de julho de 2026</w:t>
      </w:r>
    </w:p>
    <w:p>
      <w:pPr>
        <w:pStyle w:val="ListParagraph"/>
        <w:numPr>
          <w:ilvl w:val="0"/>
          <w:numId w:val="1"/>
        </w:numPr>
        <w:spacing w:after="60"/>
      </w:pPr>
      <w:r>
        <w:t xml:space="preserve">O projeto fixa "next": "16.2.10" (apps/mobile/package.json). Em 20/07/2026 a Vercel publicou o 'July 2026 Security Release', corrigindo 9 CVEs na versão 16.2.11 — quatro delas de severidade ALTA: CVE-2026-64641 (negação de serviço via Server Actions no App Router), CVE-2026-64642 (bypass de middleware/proxy em apps com Turbopack e um único locale — o AçaíFood é um app de locale único, em PT-BR), CVE-2026-64645 (SSRF em rewrites/redirects) e CVE-2026-64649 (SSRF em Server Actions em servidores customizados).</w:t>
      </w:r>
    </w:p>
    <w:p>
      <w:pPr>
        <w:pStyle w:val="ListParagraph"/>
        <w:numPr>
          <w:ilvl w:val="0"/>
          <w:numId w:val="1"/>
        </w:numPr>
        <w:spacing w:after="60"/>
      </w:pPr>
      <w:r>
        <w:t xml:space="preserve">Recomendação: atualizar para next@16.2.11 (ou superior) o quanto antes; como o package.json fixa a versão exata (sem ^ ou ~), a atualização não acontece sozinha em um npm install comum.</w:t>
      </w:r>
    </w:p>
    <w:p>
      <w:pPr>
        <w:spacing w:after="80" w:before="200"/>
      </w:pPr>
      <w:r>
        <w:rPr>
          <w:b/>
          <w:bCs/>
          <w:color w:val="7F8C8D"/>
        </w:rPr>
        <w:t xml:space="preserve">[BAIXA] </w:t>
      </w:r>
      <w:r>
        <w:rPr>
          <w:b/>
          <w:bCs/>
        </w:rPr>
        <w:t xml:space="preserve">5.2 Demais dependências com faixas de versão amplas</w:t>
      </w:r>
    </w:p>
    <w:p>
      <w:pPr>
        <w:pStyle w:val="ListParagraph"/>
        <w:numPr>
          <w:ilvl w:val="0"/>
          <w:numId w:val="1"/>
        </w:numPr>
        <w:spacing w:after="60"/>
      </w:pPr>
      <w:r>
        <w:t xml:space="preserve">@supabase/supabase-js (^2.110.0), zustand (^5.0.14), tailwindcss (^4), eslint (^9) usam '^', ou seja, qualquer instalação nova pode puxar versões menores mais recentes sem revisão — bom para receber correções de segurança automaticamente, mas também introduz risco de mudanças de comportamento inesperadas sem um lockfile atualizado (ver achado 4.4). Não foram encontrados avisos críticos publicamente conhecidos para essas versões no momento da auditoria.</w:t>
      </w:r>
    </w:p>
    <w:p>
      <w:pPr>
        <w:pStyle w:val="ListParagraph"/>
        <w:numPr>
          <w:ilvl w:val="0"/>
          <w:numId w:val="1"/>
        </w:numPr>
        <w:spacing w:after="60"/>
      </w:pPr>
      <w:r>
        <w:t xml:space="preserve">Recomendação: manter o package-lock.json sempre atualizado e revisar cada bump de versão antes de subir para produção.</w:t>
      </w:r>
    </w:p>
    <w:p>
      <w:pPr>
        <w:pStyle w:val="Heading1"/>
        <w:spacing w:after="200" w:before="400"/>
      </w:pPr>
      <w:r>
        <w:t xml:space="preserve">6. Recomendações Priorizadas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c>
          <w:tcPr>
            <w:tcW w:type="dxa" w:w="1800"/>
            <w:shd w:fill="1B2631" w:val="clear"/>
          </w:tcPr>
          <w:p>
            <w:r>
              <w:rPr>
                <w:b/>
                <w:bCs/>
                <w:color w:val="FFFFFF"/>
              </w:rPr>
              <w:t xml:space="preserve">Prioridade</w:t>
            </w:r>
          </w:p>
        </w:tc>
        <w:tc>
          <w:tcPr>
            <w:tcW w:type="dxa" w:w="7700"/>
            <w:shd w:fill="1B2631" w:val="clear"/>
          </w:tcPr>
          <w:p>
            <w:r>
              <w:rPr>
                <w:b/>
                <w:bCs/>
                <w:color w:val="FFFFFF"/>
              </w:rPr>
              <w:t xml:space="preserve">Ação recomendada</w:t>
            </w:r>
          </w:p>
        </w:tc>
      </w:tr>
      <w:tr>
        <w:tc>
          <w:tcPr>
            <w:tcW w:type="dxa" w:w="1800"/>
            <w:shd w:fill="F2F3F4" w:val="clear"/>
          </w:tcPr>
          <w:p>
            <w:r>
              <w:rPr>
                <w:b/>
                <w:bCs/>
                <w:color w:val="C0392B"/>
              </w:rPr>
              <w:t xml:space="preserve">P0 — Hoje</w:t>
            </w:r>
          </w:p>
        </w:tc>
        <w:tc>
          <w:tcPr>
            <w:tcW w:type="dxa" w:w="7700"/>
            <w:shd w:fill="F2F3F4" w:val="clear"/>
          </w:tcPr>
          <w:p>
            <w:r>
              <w:t xml:space="preserve">Corrigir a política RLS de users para impedir que o próprio usuário altere role/is_admin (achado 1.1) e remover o bypass por e-mail (achado 1.2).</w:t>
            </w:r>
          </w:p>
        </w:tc>
      </w:tr>
      <w:tr>
        <w:tc>
          <w:tcPr>
            <w:tcW w:type="dxa" w:w="1800"/>
            <w:shd w:fill="FFFFFF" w:val="clear"/>
          </w:tcPr>
          <w:p>
            <w:r>
              <w:rPr>
                <w:b/>
                <w:bCs/>
                <w:color w:val="C0392B"/>
              </w:rPr>
              <w:t xml:space="preserve">P0 — Hoje</w:t>
            </w:r>
          </w:p>
        </w:tc>
        <w:tc>
          <w:tcPr>
            <w:tcW w:type="dxa" w:w="7700"/>
            <w:shd w:fill="FFFFFF" w:val="clear"/>
          </w:tcPr>
          <w:p>
            <w:r>
              <w:t xml:space="preserve">Recalcular value e split no servidor em /api/asaas/checkout a partir do pedido salvo no banco, ignorando o que vem do cliente (achado 1.3).</w:t>
            </w:r>
          </w:p>
        </w:tc>
      </w:tr>
      <w:tr>
        <w:tc>
          <w:tcPr>
            <w:tcW w:type="dxa" w:w="1800"/>
            <w:shd w:fill="F2F3F4" w:val="clear"/>
          </w:tcPr>
          <w:p>
            <w:r>
              <w:rPr>
                <w:b/>
                <w:bCs/>
                <w:color w:val="C0392B"/>
              </w:rPr>
              <w:t xml:space="preserve">P0 — Hoje</w:t>
            </w:r>
          </w:p>
        </w:tc>
        <w:tc>
          <w:tcPr>
            <w:tcW w:type="dxa" w:w="7700"/>
            <w:shd w:fill="F2F3F4" w:val="clear"/>
          </w:tcPr>
          <w:p>
            <w:r>
              <w:t xml:space="preserve">Trocar o WEBHOOK_SECRET por um valor novo, longo e aleatório, dedicado só ao webhook; travar a Edge Function para recusar chamadas quando o segredo não estiver configurado (achado 1.5).</w:t>
            </w:r>
          </w:p>
        </w:tc>
      </w:tr>
      <w:tr>
        <w:tc>
          <w:tcPr>
            <w:tcW w:type="dxa" w:w="1800"/>
            <w:shd w:fill="FFFFFF" w:val="clear"/>
          </w:tcPr>
          <w:p>
            <w:r>
              <w:rPr>
                <w:b/>
                <w:bCs/>
                <w:color w:val="C0392B"/>
              </w:rPr>
              <w:t xml:space="preserve">P0 — Hoje</w:t>
            </w:r>
          </w:p>
        </w:tc>
        <w:tc>
          <w:tcPr>
            <w:tcW w:type="dxa" w:w="7700"/>
            <w:shd w:fill="FFFFFF" w:val="clear"/>
          </w:tcPr>
          <w:p>
            <w:r>
              <w:t xml:space="preserve">Corrigir o bug isSandbox no payout-sweep, que está travando todos os repasses automáticos (achado 2.1).</w:t>
            </w:r>
          </w:p>
        </w:tc>
      </w:tr>
      <w:tr>
        <w:tc>
          <w:tcPr>
            <w:tcW w:type="dxa" w:w="1800"/>
            <w:shd w:fill="F2F3F4" w:val="clear"/>
          </w:tcPr>
          <w:p>
            <w:r>
              <w:rPr>
                <w:b/>
                <w:bCs/>
                <w:color w:val="E67E22"/>
              </w:rPr>
              <w:t xml:space="preserve">P1 — Esta semana</w:t>
            </w:r>
          </w:p>
        </w:tc>
        <w:tc>
          <w:tcPr>
            <w:tcW w:type="dxa" w:w="7700"/>
            <w:shd w:fill="F2F3F4" w:val="clear"/>
          </w:tcPr>
          <w:p>
            <w:r>
              <w:t xml:space="preserve">Adicionar checagem de saldo/valor devido antes de qualquer transferência em /api/asaas/transfer (achado 1.4).</w:t>
            </w:r>
          </w:p>
        </w:tc>
      </w:tr>
      <w:tr>
        <w:tc>
          <w:tcPr>
            <w:tcW w:type="dxa" w:w="1800"/>
            <w:shd w:fill="FFFFFF" w:val="clear"/>
          </w:tcPr>
          <w:p>
            <w:r>
              <w:rPr>
                <w:b/>
                <w:bCs/>
                <w:color w:val="E67E22"/>
              </w:rPr>
              <w:t xml:space="preserve">P1 — Esta semana</w:t>
            </w:r>
          </w:p>
        </w:tc>
        <w:tc>
          <w:tcPr>
            <w:tcW w:type="dxa" w:w="7700"/>
            <w:shd w:fill="FFFFFF" w:val="clear"/>
          </w:tcPr>
          <w:p>
            <w:r>
              <w:t xml:space="preserve">Rotacionar a chave de produção do Asaas e a Service Role Key do Supabase, e mover todos os segredos para o cofre de variáveis de ambiente da Vercel/Supabase (achado 1.6).</w:t>
            </w:r>
          </w:p>
        </w:tc>
      </w:tr>
      <w:tr>
        <w:tc>
          <w:tcPr>
            <w:tcW w:type="dxa" w:w="1800"/>
            <w:shd w:fill="F2F3F4" w:val="clear"/>
          </w:tcPr>
          <w:p>
            <w:r>
              <w:rPr>
                <w:b/>
                <w:bCs/>
                <w:color w:val="E67E22"/>
              </w:rPr>
              <w:t xml:space="preserve">P1 — Esta semana</w:t>
            </w:r>
          </w:p>
        </w:tc>
        <w:tc>
          <w:tcPr>
            <w:tcW w:type="dxa" w:w="7700"/>
            <w:shd w:fill="F2F3F4" w:val="clear"/>
          </w:tcPr>
          <w:p>
            <w:r>
              <w:t xml:space="preserve">Remover a variável NEXT_PUBLIC_INTERNAL_API_SECRET (achado 1.7) e exigir autenticação em /api/asaas/activation (achado 1.8).</w:t>
            </w:r>
          </w:p>
        </w:tc>
      </w:tr>
      <w:tr>
        <w:tc>
          <w:tcPr>
            <w:tcW w:type="dxa" w:w="1800"/>
            <w:shd w:fill="FFFFFF" w:val="clear"/>
          </w:tcPr>
          <w:p>
            <w:r>
              <w:rPr>
                <w:b/>
                <w:bCs/>
                <w:color w:val="E67E22"/>
              </w:rPr>
              <w:t xml:space="preserve">P1 — Esta semana</w:t>
            </w:r>
          </w:p>
        </w:tc>
        <w:tc>
          <w:tcPr>
            <w:tcW w:type="dxa" w:w="7700"/>
            <w:shd w:fill="FFFFFF" w:val="clear"/>
          </w:tcPr>
          <w:p>
            <w:r>
              <w:t xml:space="preserve">Atualizar Next.js para 16.2.11 ou superior (achado 5.1).</w:t>
            </w:r>
          </w:p>
        </w:tc>
      </w:tr>
      <w:tr>
        <w:tc>
          <w:tcPr>
            <w:tcW w:type="dxa" w:w="1800"/>
            <w:shd w:fill="F2F3F4" w:val="clear"/>
          </w:tcPr>
          <w:p>
            <w:r>
              <w:rPr>
                <w:b/>
                <w:bCs/>
                <w:color w:val="D4AC0D"/>
              </w:rPr>
              <w:t xml:space="preserve">P2 — Este mês</w:t>
            </w:r>
          </w:p>
        </w:tc>
        <w:tc>
          <w:tcPr>
            <w:tcW w:type="dxa" w:w="7700"/>
            <w:shd w:fill="F2F3F4" w:val="clear"/>
          </w:tcPr>
          <w:p>
            <w:r>
              <w:t xml:space="preserve">Corrigir payout-sweep para só marcar repasse como feito em caso de sucesso confirmado, com fila de reprocessamento para falhas (achado 2.2).</w:t>
            </w:r>
          </w:p>
        </w:tc>
      </w:tr>
      <w:tr>
        <w:tc>
          <w:tcPr>
            <w:tcW w:type="dxa" w:w="1800"/>
            <w:shd w:fill="FFFFFF" w:val="clear"/>
          </w:tcPr>
          <w:p>
            <w:r>
              <w:rPr>
                <w:b/>
                <w:bCs/>
                <w:color w:val="D4AC0D"/>
              </w:rPr>
              <w:t xml:space="preserve">P2 — Este mês</w:t>
            </w:r>
          </w:p>
        </w:tc>
        <w:tc>
          <w:tcPr>
            <w:tcW w:type="dxa" w:w="7700"/>
            <w:shd w:fill="FFFFFF" w:val="clear"/>
          </w:tcPr>
          <w:p>
            <w:r>
              <w:t xml:space="preserve">Unificar a checagem de papel admin (case-insensitive) em uma função só, reutilizada por rotas e Edge Functions (achados 1.9 e 4.3).</w:t>
            </w:r>
          </w:p>
        </w:tc>
      </w:tr>
      <w:tr>
        <w:tc>
          <w:tcPr>
            <w:tcW w:type="dxa" w:w="1800"/>
            <w:shd w:fill="F2F3F4" w:val="clear"/>
          </w:tcPr>
          <w:p>
            <w:r>
              <w:rPr>
                <w:b/>
                <w:bCs/>
                <w:color w:val="D4AC0D"/>
              </w:rPr>
              <w:t xml:space="preserve">P2 — Este mês</w:t>
            </w:r>
          </w:p>
        </w:tc>
        <w:tc>
          <w:tcPr>
            <w:tcW w:type="dxa" w:w="7700"/>
            <w:shd w:fill="F2F3F4" w:val="clear"/>
          </w:tcPr>
          <w:p>
            <w:r>
              <w:t xml:space="preserve">Regenerar package-lock.json e validar que reflete a estrutura real do monorepo (achado 4.4).</w:t>
            </w:r>
          </w:p>
        </w:tc>
      </w:tr>
      <w:tr>
        <w:tc>
          <w:tcPr>
            <w:tcW w:type="dxa" w:w="1800"/>
            <w:shd w:fill="FFFFFF" w:val="clear"/>
          </w:tcPr>
          <w:p>
            <w:r>
              <w:rPr>
                <w:b/>
                <w:bCs/>
                <w:color w:val="7F8C8D"/>
              </w:rPr>
              <w:t xml:space="preserve">P3 — Backlog</w:t>
            </w:r>
          </w:p>
        </w:tc>
        <w:tc>
          <w:tcPr>
            <w:tcW w:type="dxa" w:w="7700"/>
            <w:shd w:fill="FFFFFF" w:val="clear"/>
          </w:tcPr>
          <w:p>
            <w:r>
              <w:t xml:space="preserve">Refatorar useAppStore.ts e as telas maiores em módulos menores; reduzir uso de 'any'; remover console.log de dados sensíveis (achados 2.4, 4.1, 4.2, 4.5).</w:t>
            </w:r>
          </w:p>
        </w:tc>
      </w:tr>
    </w:tbl>
    <w:p>
      <w:pPr>
        <w:pStyle w:val="Heading1"/>
        <w:spacing w:after="200" w:before="400"/>
      </w:pPr>
      <w:r>
        <w:t xml:space="preserve">7. Observação Final</w:t>
      </w:r>
    </w:p>
    <w:p>
      <w:pPr>
        <w:spacing w:after="120"/>
      </w:pPr>
      <w:r>
        <w:t xml:space="preserve">Os itens críticos listados aqui (seções 1 e 2) não são falhas teóricas — são caminhos diretos e razoavelmente simples de explorar contra uma plataforma que já processa dinheiro real via Asaas em produção. Recomenda-se tratar as correções P0 antes de qualquer campanha de divulgação, captação de novos parceiros/fundadores ou aumento de volume de pedidos, e considerar um teste de invasão (pentest) independente depois que as correções P0/P1 forem aplicadas.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2026-09-11T03:48:55.793Z</dcterms:created>
  <dcterms:modified xsi:type="dcterms:W3CDTF">2026-09-11T03:48:55.794Z</dcterms:modified>
</cp:coreProperties>
</file>

<file path=docProps/custom.xml><?xml version="1.0" encoding="utf-8"?>
<Properties xmlns="http://schemas.openxmlformats.org/officeDocument/2006/custom-properties" xmlns:vt="http://schemas.openxmlformats.org/officeDocument/2006/docPropsVTypes"/>
</file>