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Quinta Auditoria — AçaíFood</w:t>
      </w:r>
    </w:p>
    <w:p>
      <w:pPr>
        <w:spacing w:after="80"/>
      </w:pPr>
      <w:r>
        <w:rPr>
          <w:b/>
          <w:bCs/>
          <w:color w:val="5D6D7E"/>
          <w:sz w:val="24"/>
          <w:szCs w:val="24"/>
        </w:rPr>
        <w:t xml:space="preserve">Sistema financeiro completo: cobrança, split, saque e conformidade BaaS/Asaas</w:t>
      </w:r>
    </w:p>
    <w:p>
      <w:pPr>
        <w:spacing w:after="300"/>
      </w:pPr>
      <w:r>
        <w:rPr>
          <w:color w:val="5D6D7E"/>
        </w:rPr>
        <w:t xml:space="preserve">Data: 18 de setembro de 2026</w:t>
      </w:r>
    </w:p>
    <w:p>
      <w:pPr>
        <w:pStyle w:val="Heading1"/>
        <w:spacing w:after="200" w:before="400"/>
      </w:pPr>
      <w:r>
        <w:t xml:space="preserve">Resumo executivo</w:t>
      </w:r>
    </w:p>
    <w:p>
      <w:pPr>
        <w:spacing w:after="120"/>
      </w:pPr>
      <w:r>
        <w:t xml:space="preserve">Esta auditoria é diferente das quatro anteriores: em vez de verificar a execução de um prompt específico, foi pedida uma revisão "forte e rigorosa" de todo o sistema financeiro do AçaíFood — cobrança de pedidos, ativação de parceiros, split automático no Asaas, e a nova arquitetura de saque sob aprovação (rodada 5) e sua sincronização mais recente (rodada 6, feita pelo próprio Antigravity horas antes desta auditoria).</w:t>
      </w:r>
    </w:p>
    <w:p>
      <w:pPr>
        <w:spacing w:after="120"/>
      </w:pPr>
      <w:r>
        <w:t xml:space="preserve">A boa notícia primeiro: reli, arquivo por arquivo, tudo que as rodadas 4, 5 e 6 pediram, e a esmagadora maioria está implementada corretamente — inclusive itens que o próprio Antigravity já havia corrigido na sincronização da rodada 6 (auto-reativação de conta bloqueada, webhook liberando split cedo demais, a Edge Function órfã do payout-sweep). Isso está detalhado na seção 6.</w:t>
      </w:r>
    </w:p>
    <w:p>
      <w:pPr>
        <w:spacing w:after="120"/>
      </w:pPr>
      <w:r>
        <w:rPr>
          <w:b/>
          <w:bCs/>
          <w:color w:val="C0392B"/>
        </w:rPr>
        <w:t xml:space="preserve">Indo fundo no código que hoje efetivamente move dinheiro real — a rota de saque introduzida na rodada 5, que se tornou o mecanismo principal de repasse — encontrei dois problemas CRÍTICOS que nenhuma auditoria ou sincronização anterior havia identificado: o valor do saque é calculado por uma fórmula diferente da fórmula "oficial" usada em outros pontos do sistema, podendo pagar a mais para lojas com subsídio de frete configurado; e a aprovação do saque nunca verifica se a subconta do parceiro no Asaas foi de fato aprovada, o que permite pagar um parceiro pela própria chave Pix pessoal mesmo sem homologação BaaS completa. Também encontrei dois problemas ALTOS: o horário de pagamento automático que o admin configura no painel não tem nenhum efeito sobre quando o dinheiro realmente sai, e todo pagamento de saque falha silenciosamente ao tentar gravar no livro-razão de auditoria (partner_ledger), deixando o principal canal de repasse sem nenhum registro auditável.</w:t>
      </w:r>
    </w:p>
    <w:p>
      <w:pPr>
        <w:spacing w:after="120"/>
      </w:pPr>
      <w:r>
        <w:t xml:space="preserve">Nenhum desses quatro pontos é uma falha de autorização óbvia (ninguém consegue roubar dinheiro de outra pessoa por aqui) — são erros de cálculo, configuração sem efeito prático, e uma auditoria interna silenciosamente quebrada: o tipo de problema que só aparece lendo a lógica de negócio linha a linha e comparando contra as outras implementações da mesma regra no mesmo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200"/>
        <w:gridCol w:w="1800"/>
      </w:tblGrid>
      <w:tr>
        <w:tc>
          <w:tcPr>
            <w:tcW w:type="dxa" w:w="1300"/>
            <w:shd w:fill="1B2631" w:val="clear"/>
          </w:tcPr>
          <w:p>
            <w:r>
              <w:rPr>
                <w:b/>
                <w:bCs/>
                <w:color w:val="FFFFFF"/>
              </w:rPr>
              <w:t xml:space="preserve">Item</w:t>
            </w:r>
          </w:p>
        </w:tc>
        <w:tc>
          <w:tcPr>
            <w:tcW w:type="dxa" w:w="6200"/>
            <w:shd w:fill="1B2631" w:val="clear"/>
          </w:tcPr>
          <w:p>
            <w:r>
              <w:rPr>
                <w:b/>
                <w:bCs/>
                <w:color w:val="FFFFFF"/>
              </w:rPr>
              <w:t xml:space="preserve">Descrição</w:t>
            </w:r>
          </w:p>
        </w:tc>
        <w:tc>
          <w:tcPr>
            <w:tcW w:type="dxa" w:w="1800"/>
            <w:shd w:fill="1B2631" w:val="clear"/>
          </w:tcPr>
          <w:p>
            <w:r>
              <w:rPr>
                <w:b/>
                <w:bCs/>
                <w:color w:val="FFFFFF"/>
              </w:rPr>
              <w:t xml:space="preserve">Status</w:t>
            </w:r>
          </w:p>
        </w:tc>
      </w:tr>
      <w:tr>
        <w:tc>
          <w:tcPr>
            <w:tcW w:type="dxa" w:w="1300"/>
            <w:shd w:fill="F2F3F4" w:val="clear"/>
          </w:tcPr>
          <w:p>
            <w:r>
              <w:rPr>
                <w:b/>
                <w:bCs/>
              </w:rPr>
              <w:t xml:space="preserve">CRÍTICO 1</w:t>
            </w:r>
          </w:p>
        </w:tc>
        <w:tc>
          <w:tcPr>
            <w:tcW w:type="dxa" w:w="6200"/>
            <w:shd w:fill="F2F3F4" w:val="clear"/>
          </w:tcPr>
          <w:p>
            <w:r>
              <w:t xml:space="preserve">Fórmula de cálculo do saldo de saque diverge da fórmula oficial de repasse (payoutCalc.ts)</w:t>
            </w:r>
          </w:p>
        </w:tc>
        <w:tc>
          <w:tcPr>
            <w:tcW w:type="dxa" w:w="1800"/>
            <w:shd w:fill="F2F3F4" w:val="clear"/>
          </w:tcPr>
          <w:p>
            <w:r>
              <w:rPr>
                <w:b/>
                <w:bCs/>
                <w:color w:val="C0392B"/>
              </w:rPr>
              <w:t xml:space="preserve">CRÍTICO — corrigir já</w:t>
            </w:r>
          </w:p>
        </w:tc>
      </w:tr>
      <w:tr>
        <w:tc>
          <w:tcPr>
            <w:tcW w:type="dxa" w:w="1300"/>
            <w:shd w:fill="FFFFFF" w:val="clear"/>
          </w:tcPr>
          <w:p>
            <w:r>
              <w:rPr>
                <w:b/>
                <w:bCs/>
              </w:rPr>
              <w:t xml:space="preserve">CRÍTICO 2</w:t>
            </w:r>
          </w:p>
        </w:tc>
        <w:tc>
          <w:tcPr>
            <w:tcW w:type="dxa" w:w="6200"/>
            <w:shd w:fill="FFFFFF" w:val="clear"/>
          </w:tcPr>
          <w:p>
            <w:r>
              <w:t xml:space="preserve">Aprovação de saque não exige subconta Asaas aprovada (split_enabled/asaas_account_status)</w:t>
            </w:r>
          </w:p>
        </w:tc>
        <w:tc>
          <w:tcPr>
            <w:tcW w:type="dxa" w:w="1800"/>
            <w:shd w:fill="FFFFFF" w:val="clear"/>
          </w:tcPr>
          <w:p>
            <w:r>
              <w:rPr>
                <w:b/>
                <w:bCs/>
                <w:color w:val="C0392B"/>
              </w:rPr>
              <w:t xml:space="preserve">CRÍTICO — corrigir já</w:t>
            </w:r>
          </w:p>
        </w:tc>
      </w:tr>
      <w:tr>
        <w:tc>
          <w:tcPr>
            <w:tcW w:type="dxa" w:w="1300"/>
            <w:shd w:fill="F2F3F4" w:val="clear"/>
          </w:tcPr>
          <w:p>
            <w:r>
              <w:rPr>
                <w:b/>
                <w:bCs/>
              </w:rPr>
              <w:t xml:space="preserve">ALTO 1</w:t>
            </w:r>
          </w:p>
        </w:tc>
        <w:tc>
          <w:tcPr>
            <w:tcW w:type="dxa" w:w="6200"/>
            <w:shd w:fill="F2F3F4" w:val="clear"/>
          </w:tcPr>
          <w:p>
            <w:r>
              <w:t xml:space="preserve">Horário de pagamento automático configurado pelo admin não tem efeito real</w:t>
            </w:r>
          </w:p>
        </w:tc>
        <w:tc>
          <w:tcPr>
            <w:tcW w:type="dxa" w:w="1800"/>
            <w:shd w:fill="F2F3F4" w:val="clear"/>
          </w:tcPr>
          <w:p>
            <w:r>
              <w:rPr>
                <w:b/>
                <w:bCs/>
                <w:color w:val="E67E22"/>
              </w:rPr>
              <w:t xml:space="preserve">ALTO — corrigir</w:t>
            </w:r>
          </w:p>
        </w:tc>
      </w:tr>
      <w:tr>
        <w:tc>
          <w:tcPr>
            <w:tcW w:type="dxa" w:w="1300"/>
            <w:shd w:fill="FFFFFF" w:val="clear"/>
          </w:tcPr>
          <w:p>
            <w:r>
              <w:rPr>
                <w:b/>
                <w:bCs/>
              </w:rPr>
              <w:t xml:space="preserve">ALTO 2</w:t>
            </w:r>
          </w:p>
        </w:tc>
        <w:tc>
          <w:tcPr>
            <w:tcW w:type="dxa" w:w="6200"/>
            <w:shd w:fill="FFFFFF" w:val="clear"/>
          </w:tcPr>
          <w:p>
            <w:r>
              <w:t xml:space="preserve">Toda gravação de saque em partner_ledger falha silenciosamente (viola CHECK constraint)</w:t>
            </w:r>
          </w:p>
        </w:tc>
        <w:tc>
          <w:tcPr>
            <w:tcW w:type="dxa" w:w="1800"/>
            <w:shd w:fill="FFFFFF" w:val="clear"/>
          </w:tcPr>
          <w:p>
            <w:r>
              <w:rPr>
                <w:b/>
                <w:bCs/>
                <w:color w:val="E67E22"/>
              </w:rPr>
              <w:t xml:space="preserve">ALTO — corrigir</w:t>
            </w:r>
          </w:p>
        </w:tc>
      </w:tr>
      <w:tr>
        <w:tc>
          <w:tcPr>
            <w:tcW w:type="dxa" w:w="1300"/>
            <w:shd w:fill="F2F3F4" w:val="clear"/>
          </w:tcPr>
          <w:p>
            <w:r>
              <w:rPr>
                <w:b/>
                <w:bCs/>
              </w:rPr>
              <w:t xml:space="preserve">MÉDIO 1</w:t>
            </w:r>
          </w:p>
        </w:tc>
        <w:tc>
          <w:tcPr>
            <w:tcW w:type="dxa" w:w="6200"/>
            <w:shd w:fill="F2F3F4" w:val="clear"/>
          </w:tcPr>
          <w:p>
            <w:r>
              <w:t xml:space="preserve">Aprovação de saque sem trava atômica — risco de pagamento duplicado em concorrência</w:t>
            </w:r>
          </w:p>
        </w:tc>
        <w:tc>
          <w:tcPr>
            <w:tcW w:type="dxa" w:w="1800"/>
            <w:shd w:fill="F2F3F4" w:val="clear"/>
          </w:tcPr>
          <w:p>
            <w:r>
              <w:rPr>
                <w:b/>
                <w:bCs/>
                <w:color w:val="D4AC0D"/>
              </w:rPr>
              <w:t xml:space="preserve">MÉDIO — corrigir</w:t>
            </w:r>
          </w:p>
        </w:tc>
      </w:tr>
      <w:tr>
        <w:tc>
          <w:tcPr>
            <w:tcW w:type="dxa" w:w="1300"/>
            <w:shd w:fill="FFFFFF" w:val="clear"/>
          </w:tcPr>
          <w:p>
            <w:r>
              <w:rPr>
                <w:b/>
                <w:bCs/>
              </w:rPr>
              <w:t xml:space="preserve">MÉDIO 2</w:t>
            </w:r>
          </w:p>
        </w:tc>
        <w:tc>
          <w:tcPr>
            <w:tcW w:type="dxa" w:w="6200"/>
            <w:shd w:fill="FFFFFF" w:val="clear"/>
          </w:tcPr>
          <w:p>
            <w:r>
              <w:t xml:space="preserve">split_enabled ainda nasce true no cadastro do parceiro (R4-P4.1 nunca aplicado)</w:t>
            </w:r>
          </w:p>
        </w:tc>
        <w:tc>
          <w:tcPr>
            <w:tcW w:type="dxa" w:w="1800"/>
            <w:shd w:fill="FFFFFF" w:val="clear"/>
          </w:tcPr>
          <w:p>
            <w:r>
              <w:rPr>
                <w:b/>
                <w:bCs/>
                <w:color w:val="D4AC0D"/>
              </w:rPr>
              <w:t xml:space="preserve">MÉDIO — corrigir</w:t>
            </w:r>
          </w:p>
        </w:tc>
      </w:tr>
      <w:tr>
        <w:tc>
          <w:tcPr>
            <w:tcW w:type="dxa" w:w="1300"/>
            <w:shd w:fill="F2F3F4" w:val="clear"/>
          </w:tcPr>
          <w:p>
            <w:r>
              <w:rPr>
                <w:b/>
                <w:bCs/>
              </w:rPr>
              <w:t xml:space="preserve">BAIXO 1</w:t>
            </w:r>
          </w:p>
        </w:tc>
        <w:tc>
          <w:tcPr>
            <w:tcW w:type="dxa" w:w="6200"/>
            <w:shd w:fill="F2F3F4" w:val="clear"/>
          </w:tcPr>
          <w:p>
            <w:r>
              <w:t xml:space="preserve">"paidCount" da cota de fundador conta qualquer parceiro com wallet, não quem pagou de fato</w:t>
            </w:r>
          </w:p>
        </w:tc>
        <w:tc>
          <w:tcPr>
            <w:tcW w:type="dxa" w:w="1800"/>
            <w:shd w:fill="F2F3F4" w:val="clear"/>
          </w:tcPr>
          <w:p>
            <w:r>
              <w:rPr>
                <w:b/>
                <w:bCs/>
                <w:color w:val="7F8C8D"/>
              </w:rPr>
              <w:t xml:space="preserve">BAIXO — ajustar</w:t>
            </w:r>
          </w:p>
        </w:tc>
      </w:tr>
      <w:tr>
        <w:tc>
          <w:tcPr>
            <w:tcW w:type="dxa" w:w="1300"/>
            <w:shd w:fill="FFFFFF" w:val="clear"/>
          </w:tcPr>
          <w:p>
            <w:r>
              <w:rPr>
                <w:b/>
                <w:bCs/>
              </w:rPr>
              <w:t xml:space="preserve">BAIXO 2</w:t>
            </w:r>
          </w:p>
        </w:tc>
        <w:tc>
          <w:tcPr>
            <w:tcW w:type="dxa" w:w="6200"/>
            <w:shd w:fill="FFFFFF" w:val="clear"/>
          </w:tcPr>
          <w:p>
            <w:r>
              <w:t xml:space="preserve">"isPaid" da ativação usa a mesma inferência frágil (wallet/account id ⇒ pago)</w:t>
            </w:r>
          </w:p>
        </w:tc>
        <w:tc>
          <w:tcPr>
            <w:tcW w:type="dxa" w:w="1800"/>
            <w:shd w:fill="FFFFFF" w:val="clear"/>
          </w:tcPr>
          <w:p>
            <w:r>
              <w:rPr>
                <w:b/>
                <w:bCs/>
                <w:color w:val="7F8C8D"/>
              </w:rPr>
              <w:t xml:space="preserve">BAIXO — ajustar</w:t>
            </w:r>
          </w:p>
        </w:tc>
      </w:tr>
      <w:tr>
        <w:tc>
          <w:tcPr>
            <w:tcW w:type="dxa" w:w="1300"/>
            <w:shd w:fill="F2F3F4" w:val="clear"/>
          </w:tcPr>
          <w:p>
            <w:r>
              <w:rPr>
                <w:b/>
                <w:bCs/>
              </w:rPr>
              <w:t xml:space="preserve">R4/R5/R6</w:t>
            </w:r>
          </w:p>
        </w:tc>
        <w:tc>
          <w:tcPr>
            <w:tcW w:type="dxa" w:w="6200"/>
            <w:shd w:fill="F2F3F4" w:val="clear"/>
          </w:tcPr>
          <w:p>
            <w:r>
              <w:t xml:space="preserve">Itens das rodadas anteriores — ver seção 6 para a lista completa confirmada</w:t>
            </w:r>
          </w:p>
        </w:tc>
        <w:tc>
          <w:tcPr>
            <w:tcW w:type="dxa" w:w="1800"/>
            <w:shd w:fill="F2F3F4" w:val="clear"/>
          </w:tcPr>
          <w:p>
            <w:r>
              <w:rPr>
                <w:b/>
                <w:bCs/>
                <w:color w:val="C0392B"/>
              </w:rPr>
              <w:t xml:space="preserve">Confirmado corrigido</w:t>
            </w:r>
          </w:p>
        </w:tc>
      </w:tr>
    </w:tbl>
    <w:p>
      <w:pPr>
        <w:pStyle w:val="Heading1"/>
        <w:spacing w:after="200" w:before="400"/>
      </w:pPr>
      <w:r>
        <w:t xml:space="preserve">1. CRÍTICO — O valor do saque é calculado por uma fórmula própria, diferente da oficial</w:t>
      </w:r>
    </w:p>
    <w:p>
      <w:pPr>
        <w:spacing w:after="120"/>
      </w:pPr>
      <w:r>
        <w:t xml:space="preserve">O sistema tem hoje duas implementações independentes da regra "quanto o parceiro tem direito de receber por um pedido": lib/payoutCalc.ts (calculateSellerPayout / calculateDriverPayout — usada em checkout/route.ts e no transfer/route.ts legado) e lib/partnerBalance.ts (getPartnerAvailableBalance, escrita na rodada 5 para calcular o saldo disponível de saque). Elas deveriam produzir o mesmo número para o mesmo pedido — o próprio prompt da rodada 5 pediu explicitamente para reaproveitar payoutCalc.ts em vez de duplicar a lógica. Isso não foi seguido, e as duas fórmulas divergem em três pontos concretos, verificados lado a lado no código atual:</w:t>
      </w:r>
    </w:p>
    <w:p>
      <w:pPr>
        <w:pStyle w:val="ListParagraph"/>
        <w:numPr>
          <w:ilvl w:val="0"/>
          <w:numId w:val="1"/>
        </w:numPr>
        <w:spacing w:after="60"/>
      </w:pPr>
      <w:r>
        <w:t xml:space="preserve">Repasse ao vendedor — subsídio de frete ignorado: payoutCalc.ts desconta o subsídio de frete da loja (frete_subsidy_pct, configurado por storefront) do valor a receber — rawSellerValue = subtotal × (1 − taxa/100) − freteLoja. partnerBalance.ts calcula netSeller = subtotal − platSales, sem nenhuma referência a frete_subsidy_pct. Qualquer loja com subsídio de frete configurado tem o saldo de saque calculado A MAIOR do que deveria — e esse valor maior é exatamente o que sai como Pix real, seja na aprovação manual ou automática.</w:t>
      </w:r>
    </w:p>
    <w:p>
      <w:pPr>
        <w:pStyle w:val="ListParagraph"/>
        <w:numPr>
          <w:ilvl w:val="0"/>
          <w:numId w:val="1"/>
        </w:numPr>
        <w:spacing w:after="60"/>
      </w:pPr>
      <w:r>
        <w:t xml:space="preserve">Repasse ao motorista — percentual padrão diferente: payoutCalc.ts usa order.applied_delivery_platform_fee_percent ?? 10 (só cai para 10% se o campo for null/undefined). partnerBalance.ts usa o mesmo campo com || 15 em vez de ??, o que (a) usa um padrão diferente (15% em vez de 10%) e (b) trata um valor explícito de 0% no pedido como se fosse "vazio" e substitui por 15% mesmo assim — um caso real durante período de fundador/promoção, por exemplo.</w:t>
      </w:r>
    </w:p>
    <w:p>
      <w:pPr>
        <w:pStyle w:val="ListParagraph"/>
        <w:numPr>
          <w:ilvl w:val="0"/>
          <w:numId w:val="1"/>
        </w:numPr>
        <w:spacing w:after="60"/>
      </w:pPr>
      <w:r>
        <w:t xml:space="preserve">Repasse ao motorista — modo de tarifa fixa ignorado: quando platform_settings define courier_payment_mode/transporter_payment_mode/ecopoint_payment_mode como 'FIXED' (usando courier_fixed_fee, transporter_fixed_fee ou ecopoint_fixed_fee), payoutCalc.ts respeita isso. partnerBalance.ts nunca olha para esses campos — sempre calcula distância × tarifa por km, mesmo quando o admin configurou tarifa fixa para aquele tipo de pedido (B2B/transportadora ou Coleta/ecoponto).</w:t>
      </w:r>
    </w:p>
    <w:p>
      <w:pPr>
        <w:spacing w:after="120"/>
      </w:pPr>
      <w:r>
        <w:t xml:space="preserve">Correção recomendada: apagar a lógica de cálculo duplicada de dentro de getPartnerAvailableBalance e chamar diretamente calculateSellerPayout(order, freteSubsidyPct, settings) e calculateDriverPayout(order, settings) de lib/payoutCalc.ts para cada pedido elegível — exatamente como o prompt da rodada 5 já pedia. Isso garante que o saldo mostrado ao parceiro, o valor efetivamente pago no saque, e qualquer cálculo futuro usem sempre a mesma fonte de verdade.</w:t>
      </w:r>
    </w:p>
    <w:p>
      <w:pPr>
        <w:pStyle w:val="Heading1"/>
        <w:spacing w:after="200" w:before="400"/>
      </w:pPr>
      <w:r>
        <w:t xml:space="preserve">2. CRÍTICO — A aprovação do saque nunca confere se a subconta do parceiro foi aprovada</w:t>
      </w:r>
    </w:p>
    <w:p>
      <w:pPr>
        <w:spacing w:after="120"/>
      </w:pPr>
      <w:r>
        <w:t xml:space="preserve">Em lib/withdrawalApproval.ts (processWithdrawalApproval, chamada tanto pelo clique "Aprovar" do admin quanto pela varredura automática diária), o único bloqueio relacionado à subconta Asaas é: se (partnerUser.asaas_account_status === 'REJECTED') { marca como FALHOU }. Não existe nenhuma verificação de split_enabled === true nem de asaas_account_status === 'APPROVED' antes de seguir para o pagamento — exatamente o contrário do que o prompt da rodada 5 pediu explicitamente nesse mesmo passo ("Revalidar split_enabled === true e/ou asaas_account_status === 'APPROVED' antes de prosseguir").</w:t>
      </w:r>
    </w:p>
    <w:p>
      <w:pPr>
        <w:spacing w:after="120"/>
      </w:pPr>
      <w:r>
        <w:t xml:space="preserve">O efeito prático é maior do que parece à primeira vista, por causa de como lib/asaasTransferHelpers.ts (buildAsaasTransferPayload) escolhe o destino do Pix: a ordem de prioridade é CPF/CNPJ cadastrado → chave Pix explícita → e-mail → walletId da subconta Asaas, nessa ordem. Ou seja, se o parceiro tiver um CPF/CNPJ cadastrado no perfil (comum, já que é pedido no cadastro), o saque sai para essa chave pessoal ANTES de sequer olhar para o walletId da subconta Asaas — com ou sem subconta aprovada, com ou sem subconta criada.</w:t>
      </w:r>
    </w:p>
    <w:p>
      <w:pPr>
        <w:spacing w:after="120"/>
      </w:pPr>
      <w:r>
        <w:rPr>
          <w:b/>
          <w:bCs/>
          <w:color w:val="C0392B"/>
        </w:rPr>
        <w:t xml:space="preserve">Na prática, isso significa que toda a arquitetura de homologação de subconta construída nas rodadas 3 a 6 (status conservador, captura de apiKey, endpoint de documentos, webhook de aprovação por etapas) não governa o principal caminho de pagamento do sistema hoje. Um parceiro pode ter a subconta em PENDING_DOCUMENTS ou nunca ter criado uma subconta Asaas, e ainda assim receber o saque normalmente, pago via o próprio CPF cadastrado.</w:t>
      </w:r>
    </w:p>
    <w:p>
      <w:pPr>
        <w:spacing w:after="120"/>
      </w:pPr>
      <w:r>
        <w:t xml:space="preserve">Isso pode até ser aceitável do ponto de vista de "o dinheiro chegou à pessoa certa" (o CPF pertence ao próprio parceiro) — mas contraria diretamente a exigência de homologação BaaS do Asaas mencionada no playbook oficial (rodada 6) e o próprio desenho pedido nesta arquitetura, e merece uma decisão consciente do responsável pelo produto: se saques via CPF pessoal sem subconta aprovada são aceitáveis para o modelo de negócio, ou se todo saque deve, de fato, esperar a aprovação da subconta.</w:t>
      </w:r>
    </w:p>
    <w:p>
      <w:pPr>
        <w:spacing w:after="120"/>
      </w:pPr>
      <w:r>
        <w:t xml:space="preserve">Correção recomendada: em processWithdrawalApproval, adicionar a checagem que faltou — bloquear (status FALHOU, com motivo claro) quando split_enabled !== true ou quando asaas_account_status !== 'APPROVED', exatamente como o prompt da rodada 5 especificou. Se o modelo de negócio decidir manter saque via CPF pessoal como alternativa válida antes da aprovação da subconta, isso deve ser uma decisão explícita documentada no código (e comunicada ao Asaas dentro do processo de homologação), não um efeito colateral de uma checagem que nunca foi implementada.</w:t>
      </w:r>
    </w:p>
    <w:p>
      <w:pPr>
        <w:pStyle w:val="Heading1"/>
        <w:spacing w:after="200" w:before="400"/>
      </w:pPr>
      <w:r>
        <w:t xml:space="preserve">3. ALTO — O horário de pagamento automático escolhido pelo admin não tem efeito nenhum</w:t>
      </w:r>
    </w:p>
    <w:p>
      <w:pPr>
        <w:spacing w:after="120"/>
      </w:pPr>
      <w:r>
        <w:t xml:space="preserve">A funcionalidade pedida foi: o admin liga/desliga o pagamento automático e escolhe um horário do dia para ele rodar. O painel (Configurações → Pagamento automático) salva corretamente auto_payout_enabled e auto_payout_time em platform_settings via /api/admin/payout-settings. O problema está em /api/asaas/sweep/route.ts, a rota chamada pelo cron do Vercel: o código calcula currentHHMM (hora atual no fuso configurado) e targetTime (o horário escolhido pelo admin) — mas NUNCA compara os dois. A única condição real para processar os saques pendentes é (a) auto_payout_enabled === true e (b) ainda não ter rodado hoje (pelo campo last_auto_payout_run_at).</w:t>
      </w:r>
    </w:p>
    <w:p>
      <w:pPr>
        <w:spacing w:after="120"/>
      </w:pPr>
      <w:r>
        <w:t xml:space="preserve">Isso quer dizer que, na prática, o pagamento automático roda sempre no mesmo horário fixo definido pelo agendamento em vercel.json — "0 1 * * *", ou seja, 01:00 UTC todos os dias (por volta de 22h em Belém, horário de Brasília −3h) — não importa qual horário o admin escolha na tela. Se o admin configurar "09:00" ou "14:00", o saque automático continuará disparando de madrugada, uma vez por dia, sem relação com o valor escolhido.</w:t>
      </w:r>
    </w:p>
    <w:p>
      <w:pPr>
        <w:spacing w:after="120"/>
      </w:pPr>
      <w:r>
        <w:t xml:space="preserve">Correção recomendada: dentro de /api/asaas/sweep, comparar currentHHMM com targetTime (com uma margem de tolerância compatível com a frequência real do cron — por exemplo, processar apenas se a hora atual já passou do horário configurado e ainda não rodou hoje) antes de decidir processar. Alternativamente, se o objetivo for simplificar, ajustar o texto da tela do admin para deixar claro que o "horário" hoje só define uma janela mínima e o disparo real depende do agendamento fixo do Vercel — mas o comportamento atual (o campo é salvo e mostrado, mas nunca lido para essa decisão) é o pior dos dois cenários, porque passa uma falsa sensação de controle ao admin.</w:t>
      </w:r>
    </w:p>
    <w:p>
      <w:pPr>
        <w:pStyle w:val="Heading1"/>
        <w:spacing w:after="200" w:before="400"/>
      </w:pPr>
      <w:r>
        <w:t xml:space="preserve">4. ALTO — Todo pagamento de saque falha ao gravar no livro-razão de auditoria (silenciosamente)</w:t>
      </w:r>
    </w:p>
    <w:p>
      <w:pPr>
        <w:spacing w:after="120"/>
      </w:pPr>
      <w:r>
        <w:t xml:space="preserve">A tabela partner_ledger (migration 20260912020000_create_partner_ledger.sql) tem duas restrições (CHECK) na própria definição: amount NUMERIC(12,2) NOT NULL CHECK (amount &gt; 0) e type TEXT NOT NULL CHECK (type IN ('credit', 'debit')). Em lib/withdrawalApproval.ts, ao registrar um saque pago com sucesso, o código insere:</w:t>
      </w:r>
    </w:p>
    <w:p>
      <w:pPr>
        <w:shd w:fill="F2F3F4" w:val="clear"/>
        <w:spacing w:after="40"/>
      </w:pPr>
      <w:r>
        <w:rPr>
          <w:rFonts w:ascii="Consolas" w:cs="Consolas" w:eastAsia="Consolas" w:hAnsi="Consolas"/>
          <w:sz w:val="19"/>
          <w:szCs w:val="19"/>
        </w:rPr>
        <w:t xml:space="preserve">await adminSupabase.from('partner_ledger').insert({ partner_id, amount: -finalAmount, description: ..., type: 'WITHDRAWAL', reference_id: requestId });</w:t>
      </w:r>
    </w:p>
    <w:p>
      <w:pPr>
        <w:spacing w:after="120"/>
      </w:pPr>
      <w:r>
        <w:t xml:space="preserve">Essa gravação viola as DUAS restrições ao mesmo tempo: amount é negativo (a tabela exige &gt; 0) e type é 'WITHDRAWAL' (a tabela só aceita 'credit' ou 'debit'). O Postgres recusa esse INSERT sempre, sem exceção — e o código está dentro de um try/catch vazio (catch (_) {}), então o erro nunca aparece em lugar nenhum. Resultado: nenhum saque pago pela nova arquitetura de aprovação (nem manual, nem automática) jamais gera um registro em partner_ledger, apesar do nome da tabela ("livro-razão do parceiro") sugerir que ali estaria o histórico auditável de toda movimentação financeira de cada parceiro.</w:t>
      </w:r>
    </w:p>
    <w:p>
      <w:pPr>
        <w:spacing w:after="120"/>
      </w:pPr>
      <w:r>
        <w:t xml:space="preserve">Vale notar que o caminho antigo (transfer/route.ts, hoje restrito a admin) grava em partner_ledger com colunas e convenções diferentes (type: 'credit', amount positivo, reason, balance_after) — ou seja, o próprio código já tem dois padrões incompatíveis de uso dessa tabela, e o mais novo (usado pelo fluxo principal de hoje) nunca funciona de fato.</w:t>
      </w:r>
    </w:p>
    <w:p>
      <w:pPr>
        <w:spacing w:after="120"/>
      </w:pPr>
      <w:r>
        <w:t xml:space="preserve">Correção recomendada: ajustar o INSERT em withdrawalApproval.ts para respeitar o schema real da tabela — type: 'debit' (não 'WITHDRAWAL') e amount: finalAmount (positivo, já que o tipo 'debit' é o que já indica saída de saldo), preenchendo reason e balance_after no mesmo padrão usado pelo restante do sistema. Também vale remover o catch silencioso (ou ao menos logar o erro) para que uma falha real de gravação de auditoria nunca mais passe despercebida.</w:t>
      </w:r>
    </w:p>
    <w:p>
      <w:pPr>
        <w:pStyle w:val="Heading1"/>
        <w:spacing w:after="200" w:before="400"/>
      </w:pPr>
      <w:r>
        <w:t xml:space="preserve">5. MÉDIO — Aprovação de saque sem trava atômica (risco de pagamento duplicado)</w:t>
      </w:r>
    </w:p>
    <w:p>
      <w:pPr>
        <w:spacing w:after="120"/>
      </w:pPr>
      <w:r>
        <w:t xml:space="preserve">processWithdrawalApproval lê o status atual da solicitação, decide se processa, e só atualiza o status no banco depois de já ter chamado a API do Asaas. Não existe nenhum UPDATE condicional atômico (do tipo UPDATE ... WHERE status IN ('PENDENTE','FALHOU') RETURNING *, usado como uma trava de "quem chegou primeiro processa") entre a leitura e a chamada real ao Asaas.</w:t>
      </w:r>
    </w:p>
    <w:p>
      <w:pPr>
        <w:spacing w:after="120"/>
      </w:pPr>
      <w:r>
        <w:t xml:space="preserve">Isso abre uma janela — estreita, mas real — para pagamento duplicado: se duas chamadas a processWithdrawalApproval para a MESMA solicitação acontecerem quase ao mesmo tempo (por exemplo, o admin aprova manualmente no exato momento em que a varredura automática diária também está processando a mesma solicitação pendente, ou duas abas do painel admin abertas ao mesmo tempo), as duas podem ler status PENDENTE antes de qualquer uma escrever o resultado, e as duas disparam uma transferência real no Asaas para o mesmo valor — um pagamento duplicado de dinheiro real.</w:t>
      </w:r>
    </w:p>
    <w:p>
      <w:pPr>
        <w:spacing w:after="120"/>
      </w:pPr>
      <w:r>
        <w:t xml:space="preserve">O painel do admin (AdminWithdrawalsSection.tsx) já desabilita o botão da linha específica enquanto processingId === req.id, o que reduz bastante o risco de duplo-clique acidental — mas essa é uma proteção só do lado do cliente (navegador), não impede a concorrência entre a varredura automática e um clique manual, nem duas sessões de admin diferentes.</w:t>
      </w:r>
    </w:p>
    <w:p>
      <w:pPr>
        <w:spacing w:after="120"/>
      </w:pPr>
      <w:r>
        <w:t xml:space="preserve">Correção recomendada: no início de processWithdrawalApproval, trocar a leitura simples por um UPDATE atômico que já marca a solicitação como "em processamento" (por exemplo, um novo status intermediário, ou reaproveitar um campo de lock) e só prossegue se esse UPDATE realmente afetou uma linha — se afetou zero linhas, outra chamada já está processando essa mesma solicitação, e a função deve retornar sem tentar transferir de novo.</w:t>
      </w:r>
    </w:p>
    <w:p>
      <w:pPr>
        <w:pStyle w:val="Heading1"/>
        <w:spacing w:after="200" w:before="400"/>
      </w:pPr>
      <w:r>
        <w:t xml:space="preserve">6. MÉDIO — split_enabled ainda nasce true no cadastro (pendência da rodada 4 nunca aplicada)</w:t>
      </w:r>
    </w:p>
    <w:p>
      <w:pPr>
        <w:spacing w:after="120"/>
      </w:pPr>
      <w:r>
        <w:t xml:space="preserve">A Quarta Auditoria (item P4.1) já havia recomendado trocar o valor inicial de split_enabled em registerUser (apps/mobile/src/store/useAppStore.ts) para false, já que o campo era gravado como true para todo parceiro desde o cadastro, antes de qualquer subconta Asaas existir. Confirmei que esse ponto específico do prompt R4 nunca foi aplicado — a linha continua exatamente split_enabled: dbRole !== 'CLIENT' no insertPayload de registerUser.</w:t>
      </w:r>
    </w:p>
    <w:p>
      <w:pPr>
        <w:spacing w:after="120"/>
      </w:pPr>
      <w:r>
        <w:t xml:space="preserve">Hoje isso não causa dano direto no checkout (que também exige asaas_wallet_id válido antes de montar o split), mas, combinado com o achado da seção 2 acima, reforça que split_enabled não está sendo tratado como um sinal confiável de "subconta aprovada" em lugar nenhum do sistema. Corrigir esse valor inicial para false é simples e resolve a inconsistência na origem.</w:t>
      </w:r>
    </w:p>
    <w:p>
      <w:pPr>
        <w:pStyle w:val="Heading2"/>
        <w:spacing w:after="120" w:before="240"/>
      </w:pPr>
      <w:r>
        <w:t xml:space="preserve">Dois achados de baixa prioridade — rótulos que não refletem a realidade</w:t>
      </w:r>
    </w:p>
    <w:p>
      <w:pPr>
        <w:pStyle w:val="ListParagraph"/>
        <w:numPr>
          <w:ilvl w:val="0"/>
          <w:numId w:val="1"/>
        </w:numPr>
        <w:spacing w:after="60"/>
      </w:pPr>
      <w:r>
        <w:t xml:space="preserve">lib/founderQuota.ts calcula paidCount como "qualquer parceiro com asaas_wallet_id preenchido" — mas ter uma wallet vinculada não significa ter pago a taxa de ativação (um fundador subsidiado também pode, eventualmente, vincular uma subconta). O nome do campo sugere uma contagem de pagamentos reais que ele não faz.</w:t>
      </w:r>
    </w:p>
    <w:p>
      <w:pPr>
        <w:pStyle w:val="ListParagraph"/>
        <w:numPr>
          <w:ilvl w:val="0"/>
          <w:numId w:val="1"/>
        </w:numPr>
        <w:spacing w:after="60"/>
      </w:pPr>
      <w:r>
        <w:t xml:space="preserve">apps/mobile/src/app/api/asaas/activation/route.ts (GET) infere isPaid como Boolean(user.asaas_wallet_id || user.asaas_account_id || isUserAlreadyFounder) — a mesma lógica frágil: um usuário que vinculou uma subconta por outro caminho (ex.: /api/asaas/link-wallet) sem nunca ter passado pela cobrança de R$12,90 apareceria como "ativação paga".</w:t>
      </w:r>
    </w:p>
    <w:p>
      <w:pPr>
        <w:spacing w:after="120"/>
      </w:pPr>
      <w:r>
        <w:t xml:space="preserve">Nenhum dos dois é urgente, mas ambos merecem um nome mais preciso (ex.: partnersWithWallet em vez de paidCount) ou uma fonte de verdade própria para "pagou a ativação" (checar diretamente se existe uma cobrança RECEIVED/CONFIRMED com externalReference ACTIVATE_&lt;userId&gt;, em vez de inferir pela presença de wallet).</w:t>
      </w:r>
    </w:p>
    <w:p>
      <w:pPr>
        <w:pStyle w:val="Heading1"/>
        <w:spacing w:after="200" w:before="400"/>
      </w:pPr>
      <w:r>
        <w:t xml:space="preserve">7. O que já está confirmado como correto (rodadas 4, 5 e 6)</w:t>
      </w:r>
    </w:p>
    <w:p>
      <w:pPr>
        <w:spacing w:after="120"/>
      </w:pPr>
      <w:r>
        <w:t xml:space="preserve">Para não parecer que só há problemas: reconferi diretamente no código atual, não nos prompts, os itens das três últimas rodadas, e a esmagadora maioria está implementada como pedido:</w:t>
      </w:r>
    </w:p>
    <w:p>
      <w:pPr>
        <w:pStyle w:val="ListParagraph"/>
        <w:numPr>
          <w:ilvl w:val="0"/>
          <w:numId w:val="1"/>
        </w:numPr>
        <w:spacing w:after="60"/>
      </w:pPr>
      <w:r>
        <w:t xml:space="preserve">Rodada 4 — P2 (auto-reativação): a migration 20260918000000_fix_status_self_reactivation.sql já bloqueia, via trigger, que um usuário não-admin saia de status blocked/paused/suspended por conta própria. Confirmado corrigido (aplicado na sincronização da rodada 6).</w:t>
      </w:r>
    </w:p>
    <w:p>
      <w:pPr>
        <w:pStyle w:val="ListParagraph"/>
        <w:numPr>
          <w:ilvl w:val="0"/>
          <w:numId w:val="1"/>
        </w:numPr>
        <w:spacing w:after="60"/>
      </w:pPr>
      <w:r>
        <w:t xml:space="preserve">Rodada 4 — P3 (webhook liberando split cedo): supabase/functions/asaas-webhook/index.ts não trata mais ACCOUNT_STATUS_COMMERCIAL_INFO_APPROVED como aprovação geral — só event.includes('GENERAL_APPROVAL') libera split_enabled = true. Confirmado corrigido.</w:t>
      </w:r>
    </w:p>
    <w:p>
      <w:pPr>
        <w:pStyle w:val="ListParagraph"/>
        <w:numPr>
          <w:ilvl w:val="0"/>
          <w:numId w:val="1"/>
        </w:numPr>
        <w:spacing w:after="60"/>
      </w:pPr>
      <w:r>
        <w:t xml:space="preserve">Rodada 4 — P4.2 (bug em refund/route.ts): a checagem isStore agora busca corretamente storefronts.partner_id quando seller_storefront_id não é diretamente o id do usuário. Confirmado corrigido.</w:t>
      </w:r>
    </w:p>
    <w:p>
      <w:pPr>
        <w:pStyle w:val="ListParagraph"/>
        <w:numPr>
          <w:ilvl w:val="0"/>
          <w:numId w:val="1"/>
        </w:numPr>
        <w:spacing w:after="60"/>
      </w:pPr>
      <w:r>
        <w:t xml:space="preserve">Rodada 5 — arquitetura completa de saque sob aprovação: tabela withdrawal_requests com RLS, lib/partnerBalance.ts, lib/withdrawalApproval.ts, lib/asaasTransferHelpers.ts, as rotas /api/asaas/withdrawals, /api/admin/withdrawals (+ [id]/approve, [id]/reject) e /api/admin/payout-settings, e as telas AdminWithdrawalsSection.tsx — tudo presente e funcionando na estrutura geral (as ressalvas de cálculo e validação estão detalhadas nas seções 1 e 2 acima, não na existência da arquitetura em si).</w:t>
      </w:r>
    </w:p>
    <w:p>
      <w:pPr>
        <w:pStyle w:val="ListParagraph"/>
        <w:numPr>
          <w:ilvl w:val="0"/>
          <w:numId w:val="1"/>
        </w:numPr>
        <w:spacing w:after="60"/>
      </w:pPr>
      <w:r>
        <w:t xml:space="preserve">Rodada 5 — P4 (travar /api/asaas/transfer): a rota está restrita a authorizeRequest(['admin']) e devolve mensagem clara orientando o uso do saque pelo aplicativo. Confirmado corrigido.</w:t>
      </w:r>
    </w:p>
    <w:p>
      <w:pPr>
        <w:pStyle w:val="ListParagraph"/>
        <w:numPr>
          <w:ilvl w:val="0"/>
          <w:numId w:val="1"/>
        </w:numPr>
        <w:spacing w:after="60"/>
      </w:pPr>
      <w:r>
        <w:t xml:space="preserve">Rodada 6 — P0/P1/P2: os três itens críticos que o próprio Antigravity identificou na sua sincronização (auto-reativação, webhook, Edge Function órfã do payout-sweep) já estavam corrigidos no código no momento desta auditoria — supabase/functions/payout-sweep/index.ts hoje só retorna um aviso de depreciação, sem transferir nada.</w:t>
      </w:r>
    </w:p>
    <w:p>
      <w:pPr>
        <w:pStyle w:val="ListParagraph"/>
        <w:numPr>
          <w:ilvl w:val="0"/>
          <w:numId w:val="1"/>
        </w:numPr>
        <w:spacing w:after="60"/>
      </w:pPr>
      <w:r>
        <w:t xml:space="preserve">Rodada 6 — P3 (autenticação duplicada): as rotas novas da rodada 5 (withdrawals, admin/withdrawals, admin/payout-settings) já usam authorizeRequest() de lib/apiAuth.ts, não mais uma reimplementação própria — parece ter sido corrigido em uma passada de código posterior à própria rodada 6.</w:t>
      </w:r>
    </w:p>
    <w:p>
      <w:pPr>
        <w:pStyle w:val="ListParagraph"/>
        <w:numPr>
          <w:ilvl w:val="0"/>
          <w:numId w:val="1"/>
        </w:numPr>
        <w:spacing w:after="60"/>
      </w:pPr>
      <w:r>
        <w:t xml:space="preserve">O agendamento do cron em apps/mobile/vercel.json existe de fato ("/api/asaas/sweep", diário) — a infraestrutura de disparo automático está configurada, o problema é só a comparação de horário faltando dentro da rota (seção 3).</w:t>
      </w:r>
    </w:p>
    <w:p>
      <w:pPr>
        <w:pStyle w:val="Heading1"/>
        <w:spacing w:after="200" w:before="400"/>
      </w:pPr>
      <w:r>
        <w:t xml:space="preserve">8. Escopo e limitações desta auditoria</w:t>
      </w:r>
    </w:p>
    <w:p>
      <w:pPr>
        <w:spacing w:after="120"/>
      </w:pPr>
      <w:r>
        <w:t xml:space="preserve">Dois arquivos não puderam ser lidos diretamente por uma limitação técnica da ponte de arquivos com o computador (caminho profundo demais dentro da pasta conectada): apps/mobile/src/app/api/admin/withdrawals/[id]/approve/route.ts e .../[id]/reject/route.ts. O comportamento de aprovação foi verificado indiretamente através de lib/withdrawalApproval.ts (a lógica real, compartilhada, que essas rotas quase certamente apenas chamam — o mesmo padrão usado por /api/asaas/sweep, que foi lido por completo) e por referências cruzadas no prompt de sincronização da rodada 6. Recomendo, numa próxima verificação, mover ou conectar essa subpasta diretamente para confirmar o conteúdo exato desses dois arquivos linha a linha.</w:t>
      </w:r>
    </w:p>
    <w:p>
      <w:pPr>
        <w:spacing w:after="120"/>
      </w:pPr>
      <w:r>
        <w:t xml:space="preserve">Esta auditoria focou no sistema financeiro (cobrança, ativação, split, saque, webhook, ledger) — não reexaminou áreas já cobertas em rodadas anteriores e sem relação direta com dinheiro (gestão de pedidos operacional, chat de suporte, uploads de mídia, etc.), nem repetiu a verificação de fórmulas de frete/cálculo de preço de produtos fora do escopo de repasse a parceiros.</w:t>
      </w:r>
    </w:p>
    <w:p>
      <w:pPr>
        <w:pStyle w:val="Heading1"/>
        <w:spacing w:after="200" w:before="400"/>
      </w:pPr>
      <w:r>
        <w:t xml:space="preserve">9. O que fazer agora, em ordem</w:t>
      </w:r>
    </w:p>
    <w:p>
      <w:pPr>
        <w:pStyle w:val="ListParagraph"/>
        <w:numPr>
          <w:ilvl w:val="0"/>
          <w:numId w:val="1"/>
        </w:numPr>
        <w:spacing w:after="60"/>
      </w:pPr>
      <w:r>
        <w:t xml:space="preserve">1) CRÍTICO — Unificar o cálculo do saldo de saque: fazer lib/partnerBalance.ts chamar calculateSellerPayout/calculateDriverPayout de lib/payoutCalc.ts em vez de reimplementar a fórmula. Testar com um pedido que tenha frete_subsidy_pct &gt; 0 e confirmar que o saldo calculado bate com o que calculateSellerPayout retorna isoladamente.</w:t>
      </w:r>
    </w:p>
    <w:p>
      <w:pPr>
        <w:pStyle w:val="ListParagraph"/>
        <w:numPr>
          <w:ilvl w:val="0"/>
          <w:numId w:val="1"/>
        </w:numPr>
        <w:spacing w:after="60"/>
      </w:pPr>
      <w:r>
        <w:t xml:space="preserve">2) CRÍTICO — Adicionar a checagem de split_enabled === true / asaas_account_status === 'APPROVED' em processWithdrawalApproval antes de pagar, decidindo antes se saque via CPF pessoal sem subconta aprovada deve continuar sendo permitido como exceção consciente ou deve ser bloqueado.</w:t>
      </w:r>
    </w:p>
    <w:p>
      <w:pPr>
        <w:pStyle w:val="ListParagraph"/>
        <w:numPr>
          <w:ilvl w:val="0"/>
          <w:numId w:val="1"/>
        </w:numPr>
        <w:spacing w:after="60"/>
      </w:pPr>
      <w:r>
        <w:t xml:space="preserve">3) ALTO — Corrigir /api/asaas/sweep para de fato comparar a hora atual com auto_payout_time antes de processar, em vez de só checar se "já rodou hoje".</w:t>
      </w:r>
    </w:p>
    <w:p>
      <w:pPr>
        <w:pStyle w:val="ListParagraph"/>
        <w:numPr>
          <w:ilvl w:val="0"/>
          <w:numId w:val="1"/>
        </w:numPr>
        <w:spacing w:after="60"/>
      </w:pPr>
      <w:r>
        <w:t xml:space="preserve">4) ALTO — Corrigir o INSERT em partner_ledger dentro de withdrawalApproval.ts para respeitar as colunas e o CHECK constraint reais da tabela (type: 'debit', amount positivo), e parar de engolir o erro em silêncio.</w:t>
      </w:r>
    </w:p>
    <w:p>
      <w:pPr>
        <w:pStyle w:val="ListParagraph"/>
        <w:numPr>
          <w:ilvl w:val="0"/>
          <w:numId w:val="1"/>
        </w:numPr>
        <w:spacing w:after="60"/>
      </w:pPr>
      <w:r>
        <w:t xml:space="preserve">5) MÉDIO — Adicionar uma trava atômica (UPDATE condicional) no início de processWithdrawalApproval para eliminar o risco de pagamento duplicado em concorrência.</w:t>
      </w:r>
    </w:p>
    <w:p>
      <w:pPr>
        <w:pStyle w:val="ListParagraph"/>
        <w:numPr>
          <w:ilvl w:val="0"/>
          <w:numId w:val="1"/>
        </w:numPr>
        <w:spacing w:after="60"/>
      </w:pPr>
      <w:r>
        <w:t xml:space="preserve">6) MÉDIO — Trocar o valor inicial de split_enabled em registerUser (useAppStore.ts) para false.</w:t>
      </w:r>
    </w:p>
    <w:p>
      <w:pPr>
        <w:pStyle w:val="ListParagraph"/>
        <w:numPr>
          <w:ilvl w:val="0"/>
          <w:numId w:val="1"/>
        </w:numPr>
        <w:spacing w:after="60"/>
      </w:pPr>
      <w:r>
        <w:t xml:space="preserve">7) BAIXO — Renomear ou corrigir a fonte de paidCount (founderQuota.ts) e do isPaid (activation/route.ts) para refletirem pagamento real da ativação, não apenas presença de wallet.</w:t>
      </w:r>
    </w:p>
    <w:p>
      <w:pPr>
        <w:pStyle w:val="ListParagraph"/>
        <w:numPr>
          <w:ilvl w:val="0"/>
          <w:numId w:val="1"/>
        </w:numPr>
        <w:spacing w:after="60"/>
      </w:pPr>
      <w:r>
        <w:t xml:space="preserve">8) Confirmar, com acesso direto à subpasta admin/withdrawals/[id]/, o conteúdo exato de approve/route.ts e reject/route.ts (ver seção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2026-09-18T02:46:24.111Z</dcterms:created>
  <dcterms:modified xsi:type="dcterms:W3CDTF">2026-09-18T02:46:24.120Z</dcterms:modified>
</cp:coreProperties>
</file>

<file path=docProps/custom.xml><?xml version="1.0" encoding="utf-8"?>
<Properties xmlns="http://schemas.openxmlformats.org/officeDocument/2006/custom-properties" xmlns:vt="http://schemas.openxmlformats.org/officeDocument/2006/docPropsVTypes"/>
</file>