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Terceira Auditoria — Confirmação Final</w:t>
      </w:r>
    </w:p>
    <w:p>
      <w:pPr>
        <w:spacing w:after="60"/>
      </w:pPr>
      <w:r>
        <w:rPr>
          <w:b/>
          <w:bCs/>
          <w:color w:val="5D6D7E"/>
          <w:sz w:val="28"/>
          <w:szCs w:val="28"/>
        </w:rPr>
        <w:t xml:space="preserve">Projeto AçaíFood (açaifoodV1) — verificação da rodada 2 de correções (Antigravity 2.0)</w:t>
      </w:r>
    </w:p>
    <w:p>
      <w:pPr>
        <w:spacing w:after="300"/>
      </w:pPr>
      <w:r>
        <w:rPr>
          <w:color w:val="5D6D7E"/>
        </w:rPr>
        <w:t xml:space="preserve">Data: 12 de setembro de 2026</w:t>
      </w:r>
    </w:p>
    <w:p>
      <w:pPr>
        <w:pStyle w:val="Heading1"/>
        <w:spacing w:after="200" w:before="400"/>
      </w:pPr>
      <w:r>
        <w:t xml:space="preserve">Resumo</w:t>
      </w:r>
    </w:p>
    <w:p>
      <w:pPr>
        <w:spacing w:after="120"/>
      </w:pPr>
      <w:r>
        <w:t xml:space="preserve">Boa notícia: todos os 5 itens do PROMPT_CORRECOES_ANTIGRAVITY_R2.md foram implementados corretamente, incluindo o bug crítico (P0) que poderia ter derrubado a criação de pedidos em produção. Conferi cada correção diretamente no código atual do projeto, linha a linha, e também validei os nomes de coluna usados na correção do P0 contra o painel administrativo real de taxas (store/useAppStore.ts), que é a fonte de verdade de como a tabela platform_settings é lida e gravada hoje.</w:t>
      </w:r>
    </w:p>
    <w:p>
      <w:pPr>
        <w:spacing w:after="120"/>
      </w:pPr>
      <w:r>
        <w:t xml:space="preserve">Durante essa verificação eu também encontrei 2 achados novos, não relacionados aos prompts anteriores: uma função dormente (nunca chamada por nenhuma tela) que quebraria se fosse usada, e uma rota de exclusão de subconta que grava no banco com a chave anônima em vez da chave de serviço. Nenhum dos dois é crítico nem bloqueia o uso atual do app, mas registrei os dois abaixo para uma próxima rodada.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200"/>
        <w:gridCol w:w="1800"/>
      </w:tblGrid>
      <w:tr>
        <w:tc>
          <w:tcPr>
            <w:tcW w:type="dxa" w:w="1300"/>
            <w:shd w:fill="1B2631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200"/>
            <w:shd w:fill="1B2631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1800"/>
            <w:shd w:fill="1B2631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300"/>
            <w:shd w:fill="F2F3F4" w:val="clear"/>
          </w:tcPr>
          <w:p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6200"/>
            <w:shd w:fill="F2F3F4" w:val="clear"/>
          </w:tcPr>
          <w:p>
            <w:r>
              <w:t xml:space="preserve">Corrigir bug de colunas inexistentes em secure_order_creation.sql</w:t>
            </w:r>
          </w:p>
        </w:tc>
        <w:tc>
          <w:tcPr>
            <w:tcW w:type="dxa" w:w="1800"/>
            <w:shd w:fill="F2F3F4" w:val="clear"/>
          </w:tcPr>
          <w:p>
            <w:r>
              <w:rPr>
                <w:b/>
                <w:bCs/>
                <w:color w:val="1E8449"/>
              </w:rPr>
              <w:t xml:space="preserve">Concluído</w:t>
            </w:r>
          </w:p>
        </w:tc>
      </w:tr>
      <w:tr>
        <w:tc>
          <w:tcPr>
            <w:tcW w:type="dxa" w:w="1300"/>
            <w:shd w:fill="FFFFFF" w:val="clear"/>
          </w:tcPr>
          <w:p>
            <w:r>
              <w:rPr>
                <w:b/>
                <w:bCs/>
              </w:rPr>
              <w:t xml:space="preserve">P1.1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Ligar partner_ledger ao fluxo real de repasse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/>
                <w:bCs/>
                <w:color w:val="1E8449"/>
              </w:rPr>
              <w:t xml:space="preserve">Concluído</w:t>
            </w:r>
          </w:p>
        </w:tc>
      </w:tr>
      <w:tr>
        <w:tc>
          <w:tcPr>
            <w:tcW w:type="dxa" w:w="1300"/>
            <w:shd w:fill="F2F3F4" w:val="clear"/>
          </w:tcPr>
          <w:p>
            <w:r>
              <w:rPr>
                <w:b/>
                <w:bCs/>
              </w:rPr>
              <w:t xml:space="preserve">P1.2</w:t>
            </w:r>
          </w:p>
        </w:tc>
        <w:tc>
          <w:tcPr>
            <w:tcW w:type="dxa" w:w="6200"/>
            <w:shd w:fill="F2F3F4" w:val="clear"/>
          </w:tcPr>
          <w:p>
            <w:r>
              <w:t xml:space="preserve">Centralizar regra de cota de fundador (3 pontos)</w:t>
            </w:r>
          </w:p>
        </w:tc>
        <w:tc>
          <w:tcPr>
            <w:tcW w:type="dxa" w:w="1800"/>
            <w:shd w:fill="F2F3F4" w:val="clear"/>
          </w:tcPr>
          <w:p>
            <w:r>
              <w:rPr>
                <w:b/>
                <w:bCs/>
                <w:color w:val="1E8449"/>
              </w:rPr>
              <w:t xml:space="preserve">Concluído</w:t>
            </w:r>
          </w:p>
        </w:tc>
      </w:tr>
      <w:tr>
        <w:tc>
          <w:tcPr>
            <w:tcW w:type="dxa" w:w="1300"/>
            <w:shd w:fill="FFFFFF" w:val="clear"/>
          </w:tcPr>
          <w:p>
            <w:r>
              <w:rPr>
                <w:b/>
                <w:bCs/>
              </w:rPr>
              <w:t xml:space="preserve">P1.3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Remover logs com chave Pix do payout-sweep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/>
                <w:bCs/>
                <w:color w:val="1E8449"/>
              </w:rPr>
              <w:t xml:space="preserve">Concluído</w:t>
            </w:r>
          </w:p>
        </w:tc>
      </w:tr>
      <w:tr>
        <w:tc>
          <w:tcPr>
            <w:tcW w:type="dxa" w:w="1300"/>
            <w:shd w:fill="F2F3F4" w:val="clear"/>
          </w:tcPr>
          <w:p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6200"/>
            <w:shd w:fill="F2F3F4" w:val="clear"/>
          </w:tcPr>
          <w:p>
            <w:r>
              <w:t xml:space="preserve">Regenerar package-lock.json do zero</w:t>
            </w:r>
          </w:p>
        </w:tc>
        <w:tc>
          <w:tcPr>
            <w:tcW w:type="dxa" w:w="1800"/>
            <w:shd w:fill="F2F3F4" w:val="clear"/>
          </w:tcPr>
          <w:p>
            <w:r>
              <w:rPr>
                <w:b/>
                <w:bCs/>
                <w:color w:val="1E8449"/>
              </w:rPr>
              <w:t xml:space="preserve">Concluído</w:t>
            </w:r>
          </w:p>
        </w:tc>
      </w:tr>
      <w:tr>
        <w:tc>
          <w:tcPr>
            <w:tcW w:type="dxa" w:w="1300"/>
            <w:shd w:fill="FFFFFF" w:val="clear"/>
          </w:tcPr>
          <w:p>
            <w:r>
              <w:rPr>
                <w:b/>
                <w:bCs/>
              </w:rPr>
              <w:t xml:space="preserve">P3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Teste do fluxo de editar perfil (regressão)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/>
                <w:bCs/>
                <w:color w:val="D4AC0D"/>
              </w:rPr>
              <w:t xml:space="preserve">Parcial — ver seção 4</w:t>
            </w:r>
          </w:p>
        </w:tc>
      </w:tr>
      <w:tr>
        <w:tc>
          <w:tcPr>
            <w:tcW w:type="dxa" w:w="1300"/>
            <w:shd w:fill="F2F3F4" w:val="clear"/>
          </w:tcPr>
          <w:p>
            <w:r>
              <w:rPr>
                <w:b/>
                <w:bCs/>
              </w:rPr>
              <w:t xml:space="preserve">—</w:t>
            </w:r>
          </w:p>
        </w:tc>
        <w:tc>
          <w:tcPr>
            <w:tcW w:type="dxa" w:w="6200"/>
            <w:shd w:fill="F2F3F4" w:val="clear"/>
          </w:tcPr>
          <w:p>
            <w:r>
              <w:t xml:space="preserve">Achado novo: linkAsaasAccount grava coluna não liberada</w:t>
            </w:r>
          </w:p>
        </w:tc>
        <w:tc>
          <w:tcPr>
            <w:tcW w:type="dxa" w:w="1800"/>
            <w:shd w:fill="F2F3F4" w:val="clear"/>
          </w:tcPr>
          <w:p>
            <w:r>
              <w:rPr>
                <w:b/>
                <w:bCs/>
                <w:color w:val="D4AC0D"/>
              </w:rPr>
              <w:t xml:space="preserve">Novo achado (baixo risco, função não usada)</w:t>
            </w:r>
          </w:p>
        </w:tc>
      </w:tr>
      <w:tr>
        <w:tc>
          <w:tcPr>
            <w:tcW w:type="dxa" w:w="1300"/>
            <w:shd w:fill="FFFFFF" w:val="clear"/>
          </w:tcPr>
          <w:p>
            <w:r>
              <w:rPr>
                <w:b/>
                <w:bCs/>
              </w:rPr>
              <w:t xml:space="preserve">—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Achado novo: DELETE /api/asaas/subaccount usa chave anônima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/>
                <w:bCs/>
                <w:color w:val="D4AC0D"/>
              </w:rPr>
              <w:t xml:space="preserve">Novo achado (a corrigir)</w:t>
            </w:r>
          </w:p>
        </w:tc>
      </w:tr>
    </w:tbl>
    <w:p>
      <w:pPr>
        <w:pStyle w:val="Heading1"/>
        <w:spacing w:after="200" w:before="400"/>
      </w:pPr>
      <w:r>
        <w:t xml:space="preserve">1. P0 — Bug crítico corrigido corretamente</w:t>
      </w:r>
    </w:p>
    <w:p>
      <w:pPr>
        <w:spacing w:after="120"/>
      </w:pPr>
      <w:r>
        <w:t xml:space="preserve">Arquivo: supabase/migrations/20260912010000_secure_order_creation.sql. A nova versão usa to_jsonb(v_settings) e extrai cada campo com -&gt;&gt; seguido de NULLIF(...,'')::numeric e COALESCE — ou seja, se qualquer coluna não existir ou vier vazia, a função não quebra: ela cai no valor que já veio no pedido, e por último num padrão fixo (10% de plataforma, R$2/km). Isso elimina completamente o risco de erro em tempo de execução que a versão anterior tinha.</w:t>
      </w:r>
    </w:p>
    <w:p>
      <w:pPr>
        <w:spacing w:after="120"/>
      </w:pPr>
      <w:r>
        <w:t xml:space="preserve">Mais importante: desta vez os nomes de coluna usados (b2c_fee_percentage, motoboy_fee_per_km, motoboy_platform_fee_percentage, b2b_fee_percentage, truck_fee_per_km, truck_platform_fee_percentage, col_fee_percentage, col_fee_per_km, col_platform_fee_percentage) batem exatamente com os nomes reais da tabela platform_settings. Confirmei isso pelo painel de configuração de taxas do admin, em apps/mobile/src/store/useAppStore.ts (função saveRates / fetchRates), que já lê e grava nesses mesmos nomes de coluna há tempos — ou seja, essas colunas existem de fato e a nova migration está lendo o valor real configurado pelo admin, não mais um padrão fixo disfarçado.</w:t>
      </w:r>
    </w:p>
    <w:p>
      <w:pPr>
        <w:spacing w:after="120"/>
      </w:pPr>
      <w:r>
        <w:t xml:space="preserve">Pendência que já era conhecida e continua de fora do escopo desta rodada: a função ainda só impede products_subtotal negativo, sem recalcular esse subtotal a partir do preço real dos produtos no catálogo. Mantenho a recomendação anterior de uma RPC create_order_secure para uma rodada futura.</w:t>
      </w:r>
    </w:p>
    <w:p>
      <w:pPr>
        <w:pStyle w:val="Heading1"/>
        <w:spacing w:after="200" w:before="400"/>
      </w:pPr>
      <w:r>
        <w:t xml:space="preserve">2. P1 — Os 3 itens parciais foram fechados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P1.1 (ledger) — apps/mobile/src/app/api/asaas/transfer/route.ts e supabase/functions/payout-sweep/index.ts agora gravam em partner_ledger sempre que um repasse é confirmado (type: 'credit', amount, reason com referência ao pedido, e balance_after calculado a partir do histórico de créditos/débitos do parceiro). O ledger deixou de ser uma tabela órfã e passou a refletir de fato os repasses feitos.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P1.2 (cota de fundador) — as 3 chamadas (GET /api/asaas/activation, POST /api/asaas/activation e POST /api/asaas/subaccount) agora importam e usam getFounderQuotaStatus() de lib/founderQuota.ts. A cópia divergente do subaccount/route.ts (que usava freeQuota = 8) foi removida — os 3 pontos usam o mesmo valor padrão (50) vindo de um único lugar.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P1.3 (logs sensíveis) — supabase/functions/payout-sweep/index.ts não loga mais o transferBody inteiro. Os console.log restantes mostram apenas o valor calculado e o percentual de taxa aplicado (ex: 'Seller #1234 → R$ 42.00 (platFee 10%)'), sem chave Pix, CPF/CNPJ ou qualquer outro dado bancário.</w:t>
      </w:r>
    </w:p>
    <w:p>
      <w:pPr>
        <w:pStyle w:val="Heading1"/>
        <w:spacing w:after="200" w:before="400"/>
      </w:pPr>
      <w:r>
        <w:t xml:space="preserve">3. P2 — Lockfile regenerado corretamente</w:t>
      </w:r>
    </w:p>
    <w:p>
      <w:pPr>
        <w:spacing w:after="120"/>
      </w:pPr>
      <w:r>
        <w:t xml:space="preserve">Verifiquei o package-lock.json diretamente (parseado como JSON, não só por tamanho/data do arquivo): o campo workspaces da raiz agora é exatamente ['apps/*'], igual ao package.json. Não há mais nenhuma entrada marcada como extraneous, nenhuma referência a apps/admin e nenhuma entrada packages/*. A pasta node_modules também bate com isso — não existe mais pasta apps/admin dentro dela. Ou seja, a reinstalação limpa (rm -rf node_modules package-lock.json &amp;&amp; npm install) foi de fato executada.</w:t>
      </w:r>
    </w:p>
    <w:p>
      <w:pPr>
        <w:pStyle w:val="Heading1"/>
        <w:spacing w:after="200" w:before="400"/>
      </w:pPr>
      <w:r>
        <w:t xml:space="preserve">4. P3 — Verificação do risco de regressão no editar perfil</w:t>
      </w:r>
    </w:p>
    <w:p>
      <w:pPr>
        <w:spacing w:after="120"/>
      </w:pPr>
      <w:r>
        <w:t xml:space="preserve">Não consigo rodar o app para testar a interface diretamente, então revisei estaticamente todas as chamadas a supabase.from('users').update(...) feitas pelo app a partir do navegador do usuário (cliente, sujeitas às novas permissões por coluna) em apps/mobile/src/store/useAppStore.ts. A grande maioria está segura: os updates de nome, CPF/CNPJ, status, latitude/longitude e chave Pix enviam só o campo alterado, dentro da lista liberada pela migration de privilégios.</w:t>
      </w:r>
    </w:p>
    <w:p>
      <w:pPr>
        <w:spacing w:after="120"/>
      </w:pPr>
      <w:r>
        <w:t xml:space="preserve">Encontrei uma exceção: a função linkAsaasAccount (useAppStore.ts, por volta da linha 1087) — quando chamada com um walletId que já é válido — tenta gravar asaas_wallet_id e split_enabled direto pelo cliente (sem passar pelo Service Role), e essas duas colunas NÃO estão na lista liberada pela migration de privilégios. Esse update falharia silenciosamente (o erro é só logado no console, não trava o app). A boa notícia é que, ao buscar em todo o projeto, essa função não é chamada por nenhuma tela hoje — é código morto/preparado para um fluxo que não está em uso. Não é um risco em produção agora, mas se algum dia for conectado a uma tela (por exemplo, um admin colando manualmente um walletId), vai falhar. Recomendo remover essa função ou corrigi-la para chamar uma rota de servidor com Service Role, como o restante do fluxo de vínculo de conta Asaas já faz.</w:t>
      </w:r>
    </w:p>
    <w:p>
      <w:pPr>
        <w:spacing w:after="120"/>
      </w:pPr>
      <w:r>
        <w:t xml:space="preserve">Ainda assim, recomendo o teste manual de 'editar meu perfil' para cada papel de usuário antes de considerar esse ponto encerrado — análise estática não substitui rodar o app de verdade.</w:t>
      </w:r>
    </w:p>
    <w:p>
      <w:pPr>
        <w:pStyle w:val="Heading1"/>
        <w:spacing w:after="200" w:before="400"/>
      </w:pPr>
      <w:r>
        <w:t xml:space="preserve">5. Achado novo (fora do escopo dos prompts anteriores): exclusão de subconta usa chave anônima</w:t>
      </w:r>
    </w:p>
    <w:p>
      <w:pPr>
        <w:spacing w:after="120"/>
      </w:pPr>
      <w:r>
        <w:t xml:space="preserve">apps/mobile/src/app/api/asaas/subaccount/route.ts, no método DELETE, cria o cliente Supabase com createClient(supabaseUrl, NEXT_PUBLIC_SUPABASE_ANON_KEY) — a chave pública/anônima — em vez de getSupabaseAdmin() (Service Role), que é o que o método POST do mesmo arquivo já usa corretamente. Como as políticas de RLS e os grants de coluna ficaram mais restritos após a correção de privilégios, é provável que esse UPDATE final (que zera asaas_wallet_id, asaas_account_id e split_enabled após excluir a subconta no Asaas) esteja falhando silenciosamente hoje — a subconta seria excluída do lado do Asaas, mas o usuário continuaria aparecendo como 'vinculado' no banco de dados do AçaíFood. Recomendo trocar para getSupabaseAdmin() nessa rota, do mesmo jeito que já foi feito em outros pontos do sistema.</w:t>
      </w:r>
    </w:p>
    <w:p>
      <w:pPr>
        <w:pStyle w:val="Heading1"/>
        <w:spacing w:after="200" w:before="400"/>
      </w:pPr>
      <w:r>
        <w:t xml:space="preserve">6. Situação geral e próximos passos</w:t>
      </w:r>
    </w:p>
    <w:p>
      <w:pPr>
        <w:spacing w:after="120"/>
      </w:pPr>
      <w:r>
        <w:t xml:space="preserve">Com esta terceira rodada, todos os itens críticos e de alta prioridade levantados nas duas auditorias anteriores estão corrigidos e confirmados no código atual. Os únicos pontos em aberto agora são: (1) o teste manual de 'editar perfil' por papel de usuário, que só pode ser feito rodando o app de verdade; (2) os dois achados novos listados acima (baixo risco, mas vale corrigir); (3) a pendência já conhecida sobre recalcular products_subtotal a partir do catálogo real de produtos; e (4) as ações fora do código, que seguem inalteradas desde a primeira auditoria.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1) Testar manualmente 'editar perfil' em cada papel (cliente, loja, fornecedor, motorista).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2) Corrigir a rota DELETE de /api/asaas/subaccount para usar getSupabaseAdmin() em vez da chave anônima.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3) Remover ou corrigir a função linkAsaasAccount (código morto hoje, mas quebraria se conectada a uma tela).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4) Aplicar as 5 migrations de 12/09 em produção (a corrigida do P0 incluída) via supabase db push ou SQL Editor — nenhuma delas é aplicada automaticamente.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5) Ações fora do código, ainda pendentes: rotacionar as chaves (Asaas produção, Supabase Service Role, INTERNAL_API_SECRET, ASAAS_WEBHOOK_TOKEN), atualizar variáveis de ambiente na Vercel/Supabase, checar o histórico do Git em busca de .env commitados, confirmar o agendamento do payout-sweep, e considerar um pentest antes de qualquer divulgação mais ampla.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2026-09-12T15:15:25.104Z</dcterms:created>
  <dcterms:modified xsi:type="dcterms:W3CDTF">2026-09-12T15:15:25.117Z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