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pPr>
      <w:r>
        <w:rPr>
          <w:rFonts w:ascii="Arial" w:cs="Arial" w:eastAsia="Arial" w:hAnsi="Arial"/>
          <w:b/>
          <w:bCs/>
          <w:i w:val="false"/>
          <w:iCs w:val="false"/>
          <w:color w:val="1F4E79"/>
          <w:sz w:val="60"/>
          <w:szCs w:val="60"/>
        </w:rPr>
        <w:t xml:space="preserve">VAIDSHALA v3</w:t>
      </w:r>
    </w:p>
    <w:p>
      <w:pPr>
        <w:spacing w:after="60" w:before="0"/>
      </w:pPr>
      <w:r>
        <w:rPr>
          <w:rFonts w:ascii="Arial" w:cs="Arial" w:eastAsia="Arial" w:hAnsi="Arial"/>
          <w:b/>
          <w:bCs/>
          <w:i w:val="false"/>
          <w:iCs w:val="false"/>
          <w:color w:val="2E75B6"/>
          <w:sz w:val="40"/>
          <w:szCs w:val="40"/>
        </w:rPr>
        <w:t xml:space="preserve">Metabolic Correction Loop</w:t>
      </w:r>
    </w:p>
    <w:p>
      <w:pPr>
        <w:spacing w:after="40" w:before="0"/>
      </w:pPr>
      <w:r>
        <w:rPr>
          <w:rFonts w:ascii="Arial" w:cs="Arial" w:eastAsia="Arial" w:hAnsi="Arial"/>
          <w:b w:val="false"/>
          <w:bCs w:val="false"/>
          <w:i w:val="false"/>
          <w:iCs w:val="false"/>
          <w:color w:val="555555"/>
          <w:sz w:val="24"/>
          <w:szCs w:val="24"/>
        </w:rPr>
        <w:t xml:space="preserve">Final Architecture Proposal — March 2026</w:t>
      </w:r>
    </w:p>
    <w:p>
      <w:pPr>
        <w:spacing w:after="60" w:before="0"/>
      </w:pPr>
      <w:r>
        <w:rPr>
          <w:rFonts w:ascii="Arial" w:cs="Arial" w:eastAsia="Arial" w:hAnsi="Arial"/>
          <w:b/>
          <w:bCs/>
          <w:i w:val="false"/>
          <w:iCs w:val="false"/>
          <w:color w:val="1A1A1A"/>
          <w:sz w:val="20"/>
          <w:szCs w:val="20"/>
        </w:rPr>
        <w:t xml:space="preserve">Purpose: </w:t>
      </w:r>
      <w:r>
        <w:rPr>
          <w:rFonts w:ascii="Arial" w:cs="Arial" w:eastAsia="Arial" w:hAnsi="Arial"/>
          <w:b w:val="false"/>
          <w:bCs w:val="false"/>
          <w:i w:val="false"/>
          <w:iCs w:val="false"/>
          <w:color w:val="555555"/>
          <w:sz w:val="20"/>
          <w:szCs w:val="20"/>
        </w:rPr>
        <w:t xml:space="preserve">Cross-reference of the March 2026 Clinical Architecture Review against actual implementation status of KB-20 through KB-23, V-MCU, and Three-Channel Safety Architecture. Identifies what the review got right, what has already been resolved, and the definitive list of open items before clinical pilot.</w:t>
      </w:r>
    </w:p>
    <w:p>
      <w:pPr>
        <w:pBdr>
          <w:bottom w:val="single" w:color="2E75B6" w:sz="6"/>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6"/>
              <w:bottom w:val="single" w:color="2E75B6" w:sz="1"/>
              <w:right w:val="single" w:color="2E75B6" w:sz="1"/>
            </w:tcBorders>
            <w:shd w:fill="EAF0FB" w:val="clear"/>
            <w:tcMar>
              <w:top w:type="dxa" w:w="120"/>
              <w:left w:type="dxa" w:w="200"/>
              <w:bottom w:type="dxa" w:w="120"/>
              <w:right w:type="dxa" w:w="160"/>
            </w:tcMar>
          </w:tcPr>
          <w:p>
            <w:pPr>
              <w:spacing w:after="80" w:before="40"/>
            </w:pPr>
            <w:r>
              <w:rPr>
                <w:rFonts w:ascii="Arial" w:cs="Arial" w:eastAsia="Arial" w:hAnsi="Arial"/>
                <w:b/>
                <w:bCs/>
                <w:i w:val="false"/>
                <w:iCs w:val="false"/>
                <w:color w:val="2E75B6"/>
                <w:sz w:val="20"/>
                <w:szCs w:val="20"/>
              </w:rPr>
              <w:t xml:space="preserve">How to Read This Document</w:t>
            </w:r>
          </w:p>
          <w:p>
            <w:pPr>
              <w:spacing w:after="32" w:before="32"/>
            </w:pPr>
            <w:r>
              <w:rPr>
                <w:rFonts w:ascii="Arial" w:cs="Arial" w:eastAsia="Arial" w:hAnsi="Arial"/>
                <w:b w:val="false"/>
                <w:bCs w:val="false"/>
                <w:i w:val="false"/>
                <w:iCs w:val="false"/>
                <w:color w:val="1A1A1A"/>
                <w:sz w:val="19"/>
                <w:szCs w:val="19"/>
              </w:rPr>
              <w:t xml:space="preserve">The March 2026 Clinical Review was written against the specification state, before KB-23 and V-MCU were built.</w:t>
            </w:r>
          </w:p>
          <w:p>
            <w:pPr>
              <w:spacing w:after="32" w:before="32"/>
            </w:pPr>
            <w:r>
              <w:rPr>
                <w:rFonts w:ascii="Arial" w:cs="Arial" w:eastAsia="Arial" w:hAnsi="Arial"/>
                <w:b w:val="false"/>
                <w:bCs w:val="false"/>
                <w:i w:val="false"/>
                <w:iCs w:val="false"/>
                <w:color w:val="1A1A1A"/>
                <w:sz w:val="19"/>
                <w:szCs w:val="19"/>
              </w:rPr>
              <w:t xml:space="preserve">Since then: KB-23 is fully implemented (55 files, 13 endpoints, all 4 CTL panels). V-MCU is fully implemented (8 packages, 60+ tests, 13µs/cycle). Six issues the review flagged as broken are already fixed.</w:t>
            </w:r>
          </w:p>
          <w:p>
            <w:pPr>
              <w:spacing w:after="32" w:before="32"/>
            </w:pPr>
            <w:r>
              <w:rPr>
                <w:rFonts w:ascii="Arial" w:cs="Arial" w:eastAsia="Arial" w:hAnsi="Arial"/>
                <w:b w:val="false"/>
                <w:bCs w:val="false"/>
                <w:i w:val="false"/>
                <w:iCs w:val="false"/>
                <w:color w:val="1A1A1A"/>
                <w:sz w:val="19"/>
                <w:szCs w:val="19"/>
              </w:rPr>
              <w:t xml:space="preserve">This document reconciles the review's findings against current reality, then provides the definitive final proposal: what to build, in what order, before first patient.</w:t>
            </w:r>
          </w:p>
          <w:p>
            <w:pPr>
              <w:spacing w:after="32" w:before="32"/>
            </w:pPr>
            <w:r>
              <w:rPr>
                <w:rFonts w:ascii="Arial" w:cs="Arial" w:eastAsia="Arial" w:hAnsi="Arial"/>
                <w:b w:val="false"/>
                <w:bCs w:val="false"/>
                <w:i w:val="false"/>
                <w:iCs w:val="false"/>
                <w:color w:val="1A1A1A"/>
                <w:sz w:val="19"/>
                <w:szCs w:val="19"/>
              </w:rPr>
              <w:t xml:space="preserve">Status codes: ✅ Complete  ⚠️ Partial / needs action  ❌ Confirmed gap  🆕 New — not in any prior spec</w:t>
            </w:r>
          </w:p>
        </w:tc>
      </w:tr>
    </w:tbl>
    <w:p>
      <w:pPr>
        <w:spacing w:after="0" w:before="160"/>
      </w:pPr>
    </w:p>
    <w:p>
      <w:pPr>
        <w:pStyle w:val="Heading1"/>
        <w:spacing w:after="100" w:before="300"/>
      </w:pPr>
      <w:r>
        <w:rPr>
          <w:rFonts w:ascii="Arial" w:cs="Arial" w:eastAsia="Arial" w:hAnsi="Arial"/>
          <w:b/>
          <w:bCs/>
          <w:i w:val="false"/>
          <w:iCs w:val="false"/>
          <w:color w:val="1F4E79"/>
          <w:sz w:val="34"/>
          <w:szCs w:val="34"/>
        </w:rPr>
        <w:t xml:space="preserve">Part 1 — Review Verdicts Reconciled Against Current State</w:t>
      </w:r>
    </w:p>
    <w:p>
      <w:pPr>
        <w:spacing w:after="80" w:before="60"/>
      </w:pPr>
      <w:r>
        <w:rPr>
          <w:rFonts w:ascii="Arial" w:cs="Arial" w:eastAsia="Arial" w:hAnsi="Arial"/>
          <w:b w:val="false"/>
          <w:bCs w:val="false"/>
          <w:i w:val="false"/>
          <w:iCs w:val="false"/>
          <w:color w:val="1A1A1A"/>
          <w:sz w:val="20"/>
          <w:szCs w:val="20"/>
        </w:rPr>
        <w:t xml:space="preserve">The March 2026 review rated implementation completeness at ★★☆☆☆, noting KB-23 and V-MCU as unbuilt. Both are now built. The following table reconciles every major review finding against actual codebase state as verified through implementation reviews and cross-checks.</w:t>
      </w:r>
    </w:p>
    <w:p>
      <w:pPr>
        <w:spacing w:after="0" w:before="80"/>
      </w:pPr>
    </w:p>
    <w:p>
      <w:pPr>
        <w:pStyle w:val="Heading2"/>
        <w:spacing w:after="100" w:before="240"/>
      </w:pPr>
      <w:r>
        <w:rPr>
          <w:rFonts w:ascii="Arial" w:cs="Arial" w:eastAsia="Arial" w:hAnsi="Arial"/>
          <w:b/>
          <w:bCs/>
          <w:i w:val="false"/>
          <w:iCs w:val="false"/>
          <w:color w:val="2E75B6"/>
          <w:sz w:val="26"/>
          <w:szCs w:val="26"/>
        </w:rPr>
        <w:t xml:space="preserve">1.1  Review Findings That Are Already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Review Finding</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Review Status</w:t>
            </w:r>
          </w:p>
        </w:tc>
        <w:tc>
          <w:tcPr>
            <w:tcW w:type="dxa" w:w="3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Actual State</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KB-22 has no go.mod (build blocker)</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BLOCKER</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 go.mod EXISTS — confirmed in codebase cross-check. Not a blocker.</w:t>
            </w:r>
          </w:p>
        </w:tc>
      </w:tr>
      <w:tr>
        <w:tc>
          <w:tcPr>
            <w:tcW w:type="dxa" w:w="3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KB-22 calls KB-9 for medication safety</w:t>
            </w:r>
          </w:p>
        </w:tc>
        <w:tc>
          <w:tcPr>
            <w:tcW w:type="dxa" w:w="2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Must fix</w:t>
            </w:r>
          </w:p>
        </w:tc>
        <w:tc>
          <w:tcPr>
            <w:tcW w:type="dxa" w:w="39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 medication_safety_provider.go already calls KB-5. Port still needs correction (8089→8085).</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KB-22 calls KB-1 for guidelines</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Must fix</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 guideline_client.go already calls KB-3. KB-3 port unconfirmed — degrades gracefully.</w:t>
            </w:r>
          </w:p>
        </w:tc>
      </w:tr>
      <w:tr>
        <w:tc>
          <w:tcPr>
            <w:tcW w:type="dxa" w:w="3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R-05 completion guard missing</w:t>
            </w:r>
          </w:p>
        </w:tc>
        <w:tc>
          <w:tcPr>
            <w:tcW w:type="dxa" w:w="2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Must fix — RED</w:t>
            </w:r>
          </w:p>
        </w:tc>
        <w:tc>
          <w:tcPr>
            <w:tcW w:type="dxa" w:w="39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 Implemented at session_service.go:724-737. Synchronous guard before snapshot creation.</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AG-03 CM applicator uses aggregate adherence</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Must fix</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 cm_applicator.go:77 uses adherenceWeights[mod.DrugClass]. Per-class already.</w:t>
            </w:r>
          </w:p>
        </w:tc>
      </w:tr>
      <w:tr>
        <w:tc>
          <w:tcPr>
            <w:tcW w:type="dxa" w:w="3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G-05 PRE_GATEWAY_DEFAULT_ADHERENCE not set</w:t>
            </w:r>
          </w:p>
        </w:tc>
        <w:tc>
          <w:tcPr>
            <w:tcW w:type="dxa" w:w="2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Must fix</w:t>
            </w:r>
          </w:p>
        </w:tc>
        <w:tc>
          <w:tcPr>
            <w:tcW w:type="dxa" w:w="39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 config.go:114 sets 0.70.</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G-03 HYPO_RISK routes via KB-19 only (4 hops)</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Must fix</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 Dual path: hypo_risk_service.go:100-122 — KB-23 first, KB-19 secondary.</w:t>
            </w:r>
          </w:p>
        </w:tc>
      </w:tr>
      <w:tr>
        <w:tc>
          <w:tcPr>
            <w:tcW w:type="dxa" w:w="3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KB-23 not built</w:t>
            </w:r>
          </w:p>
        </w:tc>
        <w:tc>
          <w:tcPr>
            <w:tcW w:type="dxa" w:w="2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 implementation</w:t>
            </w:r>
          </w:p>
        </w:tc>
        <w:tc>
          <w:tcPr>
            <w:tcW w:type="dxa" w:w="39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 BUILT — 55 files, 13 endpoints, all CTL panels, behavioral-gap handler, perturbation tracking.</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V-MCU not built</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 implementation</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 BUILT — 8 packages, 60+ tests, all 11 design commitments, 13µs/cycle latency.</w:t>
            </w:r>
          </w:p>
        </w:tc>
      </w:tr>
      <w:tr>
        <w:tc>
          <w:tcPr>
            <w:tcW w:type="dxa" w:w="3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KB-22 YAML label vs label_en (blocker)</w:t>
            </w:r>
          </w:p>
        </w:tc>
        <w:tc>
          <w:tcPr>
            <w:tcW w:type="dxa" w:w="2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BLOCKER</w:t>
            </w:r>
          </w:p>
        </w:tc>
        <w:tc>
          <w:tcPr>
            <w:tcW w:type="dxa" w:w="39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 Semantic mismatch only — struct tag yaml:"label" matches YAML key label:. Not a silent data loss bug.</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KB-22 outcome_publisher calls /api/v1/events (wrong endpoint)</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Must fix</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 KB-19 DOES have POST /api/v1/events with HPI_COMPLETE handler. Issue is wrong port (8129 vs 8099), not wrong endpoint.</w:t>
            </w:r>
          </w:p>
        </w:tc>
      </w:tr>
    </w:tbl>
    <w:p>
      <w:pPr>
        <w:spacing w:after="0" w:before="160"/>
      </w:pPr>
    </w:p>
    <w:p>
      <w:pPr>
        <w:pStyle w:val="Heading2"/>
        <w:spacing w:after="100" w:before="240"/>
      </w:pPr>
      <w:r>
        <w:rPr>
          <w:rFonts w:ascii="Arial" w:cs="Arial" w:eastAsia="Arial" w:hAnsi="Arial"/>
          <w:b/>
          <w:bCs/>
          <w:i w:val="false"/>
          <w:iCs w:val="false"/>
          <w:color w:val="2E75B6"/>
          <w:sz w:val="26"/>
          <w:szCs w:val="26"/>
        </w:rPr>
        <w:t xml:space="preserve">1.2  Review Findings That Remain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Finding</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Severity</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Current State</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KB-21/KB-8 port collision — both on 8093</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RED</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KB-21 actual docker-compose says 8093. KB-8 Calculator is on 8093. One will fail to bind. KB-21 must move to 8133.</w:t>
            </w:r>
          </w:p>
        </w:tc>
      </w:tr>
      <w:tr>
        <w:tc>
          <w:tcPr>
            <w:tcW w:type="dxa" w:w="3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KB-5 port 8089 in KB-22 config — hits KB-9 instead</w:t>
            </w:r>
          </w:p>
        </w:tc>
        <w:tc>
          <w:tcPr>
            <w:tcW w:type="dxa" w:w="1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RED</w:t>
            </w:r>
          </w:p>
        </w:tc>
        <w:tc>
          <w:tcPr>
            <w:tcW w:type="dxa" w:w="45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config.go KB5URL defaults to 8089 (KB-9's port). KB-5 REST is 8085. Medication safety calls hit wrong service.</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KB-22 outcome_publisher KB-19 port 8129</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RED</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KB-19 runs on 8099. KB-22 config.go:70 uses 8129. Every HPI completion notification silently fails.</w:t>
            </w:r>
          </w:p>
        </w:tc>
      </w:tr>
      <w:tr>
        <w:tc>
          <w:tcPr>
            <w:tcW w:type="dxa" w:w="3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KB-20 LAB_RESULT event not published</w:t>
            </w:r>
          </w:p>
        </w:tc>
        <w:tc>
          <w:tcPr>
            <w:tcW w:type="dxa" w:w="1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RED</w:t>
            </w:r>
          </w:p>
        </w:tc>
        <w:tc>
          <w:tcPr>
            <w:tcW w:type="dxa" w:w="45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events.go has only STRATUM_CHANGE, SAFETY_ALERT, MEDICATION_CHANGE. OutcomeCorrelation in KB-21 never fires.</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AG-01 TreatmentPerturbation dampening absent from KB-22</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RED</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session_context_provider.go has no KB-23 perturbation fetch. BayesianUpdate() has no stability_factor param.</w:t>
            </w:r>
          </w:p>
        </w:tc>
      </w:tr>
      <w:tr>
        <w:tc>
          <w:tcPr>
            <w:tcW w:type="dxa" w:w="3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AG-02 /answer-reliability endpoint missing on KB-21</w:t>
            </w:r>
          </w:p>
        </w:tc>
        <w:tc>
          <w:tcPr>
            <w:tcW w:type="dxa" w:w="1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RED</w:t>
            </w:r>
          </w:p>
        </w:tc>
        <w:tc>
          <w:tcPr>
            <w:tcW w:type="dxa" w:w="45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Not in KB-21 handlers.go. R-03 reliability weighting silently uses 1.0 for all patients.</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V-MCU Channel B missing 4 specified rules</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RED</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SBP&lt;90→HALT, K+&gt;6.0→HALT, creatinine 48h delta→HALT, weight delta 2.5kg→PAUSE all absent.</w:t>
            </w:r>
          </w:p>
        </w:tc>
      </w:tr>
      <w:tr>
        <w:tc>
          <w:tcPr>
            <w:tcW w:type="dxa" w:w="3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V-MCU K+ lower threshold changed 3.0→3.5 without clinical sign-off</w:t>
            </w:r>
          </w:p>
        </w:tc>
        <w:tc>
          <w:tcPr>
            <w:tcW w:type="dxa" w:w="1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AMBER</w:t>
            </w:r>
          </w:p>
        </w:tc>
        <w:tc>
          <w:tcPr>
            <w:tcW w:type="dxa" w:w="45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B-03 uses 3.5 (more conservative than spec's 3.0). Needs explicit clinical team approval.</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V-MCU eGFR rules in Channel B not in specification</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AMBER</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B-04 (eGFR&lt;15→HALT) and B-07 (eGFR 15-29→PAUSE) expand halt population beyond spec. Needs clinical rationale documented.</w:t>
            </w:r>
          </w:p>
        </w:tc>
      </w:tr>
      <w:tr>
        <w:tc>
          <w:tcPr>
            <w:tcW w:type="dxa" w:w="3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V-MCU MetabolicPhysiologyEngine has 7 mechanism types vs spec 4</w:t>
            </w:r>
          </w:p>
        </w:tc>
        <w:tc>
          <w:tcPr>
            <w:tcW w:type="dxa" w:w="1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AMBER</w:t>
            </w:r>
          </w:p>
        </w:tc>
        <w:tc>
          <w:tcPr>
            <w:tcW w:type="dxa" w:w="45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Needs downstream compatibility verification (ComputeDose branches + KB-23 template gate rules).</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No authoritative port registry</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RED</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15+ port mismatches across project. No single source of truth. Every service integration risks silent failure.</w:t>
            </w:r>
          </w:p>
        </w:tc>
      </w:tr>
      <w:tr>
        <w:tc>
          <w:tcPr>
            <w:tcW w:type="dxa" w:w="3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Panel 3 CTL (Safety Checks) incomplete — V-MCU SafetyTrace not yet read</w:t>
            </w:r>
          </w:p>
        </w:tc>
        <w:tc>
          <w:tcPr>
            <w:tcW w:type="dxa" w:w="1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AMBER</w:t>
            </w:r>
          </w:p>
        </w:tc>
        <w:tc>
          <w:tcPr>
            <w:tcW w:type="dxa" w:w="45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Currently shows Channel A + KB-22 flags only. Channels B+C from SafetyTrace missing. Forward plan needed.</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Redis TTL missing for abandoned KB-22 sessions</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AMBER</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Reasoning chain accumulates in Redis with no TTL. Orphaned sessions persist indefinitely.</w:t>
            </w:r>
          </w:p>
        </w:tc>
      </w:tr>
      <w:tr>
        <w:tc>
          <w:tcPr>
            <w:tcW w:type="dxa" w:w="3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CTL Panel 2 worst-status aggregation too aggressive</w:t>
            </w:r>
          </w:p>
        </w:tc>
        <w:tc>
          <w:tcPr>
            <w:tcW w:type="dxa" w:w="1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AMBER</w:t>
            </w:r>
          </w:p>
        </w:tc>
        <w:tc>
          <w:tcPr>
            <w:tcW w:type="dxa" w:w="45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Card-level NOT_MET when any single recommendation has unmet criteria loses per-recommendation signal.</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IG threshold 0.01 for reasoning chain needs clinical validation</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AMBER</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At 0.01, low-signal answers generate steps. Suggest 0.05 configurable parameter.</w:t>
            </w:r>
          </w:p>
        </w:tc>
      </w:tr>
    </w:tbl>
    <w:p>
      <w:pPr>
        <w:spacing w:after="0" w:before="160"/>
      </w:pPr>
    </w:p>
    <w:p>
      <w:pPr>
        <w:pBdr>
          <w:bottom w:val="single" w:color="2E75B6" w:sz="6"/>
        </w:pBdr>
        <w:spacing w:after="160" w:before="160"/>
      </w:pPr>
    </w:p>
    <w:p>
      <w:r>
        <w:br w:type="page"/>
      </w:r>
    </w:p>
    <w:p>
      <w:pPr>
        <w:pStyle w:val="Heading1"/>
        <w:spacing w:after="100" w:before="300"/>
      </w:pPr>
      <w:r>
        <w:rPr>
          <w:rFonts w:ascii="Arial" w:cs="Arial" w:eastAsia="Arial" w:hAnsi="Arial"/>
          <w:b/>
          <w:bCs/>
          <w:i w:val="false"/>
          <w:iCs w:val="false"/>
          <w:color w:val="1F4E79"/>
          <w:sz w:val="34"/>
          <w:szCs w:val="34"/>
        </w:rPr>
        <w:t xml:space="preserve">Part 2 — New Specification Requirements from the March 2026 Review</w:t>
      </w:r>
    </w:p>
    <w:p>
      <w:pPr>
        <w:spacing w:after="80" w:before="60"/>
      </w:pPr>
      <w:r>
        <w:rPr>
          <w:rFonts w:ascii="Arial" w:cs="Arial" w:eastAsia="Arial" w:hAnsi="Arial"/>
          <w:b w:val="false"/>
          <w:bCs w:val="false"/>
          <w:i w:val="false"/>
          <w:iCs w:val="false"/>
          <w:color w:val="1A1A1A"/>
          <w:sz w:val="20"/>
          <w:szCs w:val="20"/>
        </w:rPr>
        <w:t xml:space="preserve">The following items were raised in the March 2026 review and are not addressed anywhere in the current specifications. They are not bugs in existing code — they are missing specification elements that must be resolved before the clinical pilot is safe.</w:t>
      </w:r>
    </w:p>
    <w:p>
      <w:pPr>
        <w:spacing w:after="0" w:before="80"/>
      </w:pPr>
    </w:p>
    <w:p>
      <w:pPr>
        <w:pStyle w:val="Heading2"/>
        <w:spacing w:after="100" w:before="240"/>
      </w:pPr>
      <w:r>
        <w:rPr>
          <w:rFonts w:ascii="Arial" w:cs="Arial" w:eastAsia="Arial" w:hAnsi="Arial"/>
          <w:b/>
          <w:bCs/>
          <w:i w:val="false"/>
          <w:iCs w:val="false"/>
          <w:color w:val="2E75B6"/>
          <w:sz w:val="26"/>
          <w:szCs w:val="26"/>
        </w:rPr>
        <w:t xml:space="preserve">2.1  DEPRESCRIBING_MODE — The Missing Clinical Endpoint</w:t>
      </w:r>
    </w:p>
    <w:p>
      <w:pPr>
        <w:spacing w:after="80" w:before="60"/>
      </w:pPr>
      <w:r>
        <w:rPr>
          <w:rFonts w:ascii="Arial" w:cs="Arial" w:eastAsia="Arial" w:hAnsi="Arial"/>
          <w:b w:val="false"/>
          <w:bCs w:val="false"/>
          <w:i w:val="false"/>
          <w:iCs w:val="false"/>
          <w:color w:val="1A1A1A"/>
          <w:sz w:val="20"/>
          <w:szCs w:val="20"/>
        </w:rPr>
        <w:t xml:space="preserve">The current architecture is designed entirely for the escalation direction of the correction loop. The clinical goal of 'reduce medicines' has no architectural entry point. This is the most significant clinical gap in the specification.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1"/>
              <w:left w:val="single" w:color="6A0DAD" w:sz="16"/>
              <w:bottom w:val="single" w:color="6A0DAD" w:sz="1"/>
              <w:right w:val="single" w:color="6A0DAD" w:sz="1"/>
            </w:tcBorders>
            <w:shd w:fill="F3E5F5" w:val="clear"/>
            <w:tcMar>
              <w:top w:type="dxa" w:w="120"/>
              <w:left w:type="dxa" w:w="200"/>
              <w:bottom w:type="dxa" w:w="120"/>
              <w:right w:type="dxa" w:w="160"/>
            </w:tcMar>
          </w:tcPr>
          <w:p>
            <w:pPr>
              <w:spacing w:after="80" w:before="40"/>
            </w:pPr>
            <w:r>
              <w:rPr>
                <w:rFonts w:ascii="Arial" w:cs="Arial" w:eastAsia="Arial" w:hAnsi="Arial"/>
                <w:b/>
                <w:bCs/>
                <w:i w:val="false"/>
                <w:iCs w:val="false"/>
                <w:color w:val="6A0DAD"/>
                <w:sz w:val="20"/>
                <w:szCs w:val="20"/>
              </w:rPr>
              <w:t xml:space="preserve">The Two Clinical Modes KB-20 Must Support</w:t>
            </w:r>
          </w:p>
          <w:p>
            <w:pPr>
              <w:spacing w:after="32" w:before="32"/>
            </w:pPr>
            <w:r>
              <w:rPr>
                <w:rFonts w:ascii="Arial" w:cs="Arial" w:eastAsia="Arial" w:hAnsi="Arial"/>
                <w:b w:val="false"/>
                <w:bCs w:val="false"/>
                <w:i w:val="false"/>
                <w:iCs w:val="false"/>
                <w:color w:val="1A1A1A"/>
                <w:sz w:val="19"/>
                <w:szCs w:val="19"/>
              </w:rPr>
              <w:t xml:space="preserve">OPTIMIZATION_MODE (current) — Patient titrating toward target. V-MCU increases dose ceiling. KB-23 generates MEDICATION_REVIEW (escalation) cards. Physician SLA: 24h.</w:t>
            </w:r>
          </w:p>
          <w:p>
            <w:pPr>
              <w:spacing w:after="32" w:before="32"/>
            </w:pPr>
            <w:r>
              <w:rPr>
                <w:rFonts w:ascii="Arial" w:cs="Arial" w:eastAsia="Arial" w:hAnsi="Arial"/>
                <w:b w:val="false"/>
                <w:bCs w:val="false"/>
                <w:i w:val="false"/>
                <w:iCs w:val="false"/>
                <w:color w:val="1A1A1A"/>
                <w:sz w:val="19"/>
                <w:szCs w:val="19"/>
              </w:rPr>
              <w:t xml:space="preserve"/>
            </w:r>
          </w:p>
          <w:p>
            <w:pPr>
              <w:spacing w:after="32" w:before="32"/>
            </w:pPr>
            <w:r>
              <w:rPr>
                <w:rFonts w:ascii="Arial" w:cs="Arial" w:eastAsia="Arial" w:hAnsi="Arial"/>
                <w:b w:val="false"/>
                <w:bCs w:val="false"/>
                <w:i w:val="false"/>
                <w:iCs w:val="false"/>
                <w:color w:val="1A1A1A"/>
                <w:sz w:val="19"/>
                <w:szCs w:val="19"/>
              </w:rPr>
              <w:t xml:space="preserve">DEPRESCRIBING_MODE (missing) — Patient sustained at target for 12+ consecutive weeks with stable eGFR and controlled BP. V-MCU reduces dose ceiling, applies smaller deltas, longer cooldown. KB-23 generates DEPRESCRIBING_PROPOSAL cards. Physician SLA: 72h (non-urgent).</w:t>
            </w:r>
          </w:p>
          <w:p>
            <w:pPr>
              <w:spacing w:after="32" w:before="32"/>
            </w:pPr>
            <w:r>
              <w:rPr>
                <w:rFonts w:ascii="Arial" w:cs="Arial" w:eastAsia="Arial" w:hAnsi="Arial"/>
                <w:b w:val="false"/>
                <w:bCs w:val="false"/>
                <w:i w:val="false"/>
                <w:iCs w:val="false"/>
                <w:color w:val="1A1A1A"/>
                <w:sz w:val="19"/>
                <w:szCs w:val="19"/>
              </w:rPr>
              <w:t xml:space="preserve"/>
            </w:r>
          </w:p>
          <w:p>
            <w:pPr>
              <w:spacing w:after="32" w:before="32"/>
            </w:pPr>
            <w:r>
              <w:rPr>
                <w:rFonts w:ascii="Arial" w:cs="Arial" w:eastAsia="Arial" w:hAnsi="Arial"/>
                <w:b w:val="false"/>
                <w:bCs w:val="false"/>
                <w:i w:val="false"/>
                <w:iCs w:val="false"/>
                <w:color w:val="1A1A1A"/>
                <w:sz w:val="19"/>
                <w:szCs w:val="19"/>
              </w:rPr>
              <w:t xml:space="preserve">Mode is a first-class concept in KB-20 patient state. V-MCU must know which mode the patient is in before computing any dose delta. Without this, the system can only titrate upward — the 'reduce medicines' clinical endpoint is structurally unreachable.</w:t>
            </w:r>
          </w:p>
        </w:tc>
      </w:tr>
    </w:tbl>
    <w:p>
      <w:pPr>
        <w:spacing w:after="0" w:before="80"/>
      </w:pPr>
    </w:p>
    <w:p>
      <w:pPr>
        <w:spacing w:after="80" w:before="60"/>
      </w:pPr>
      <w:r>
        <w:rPr>
          <w:rFonts w:ascii="Arial" w:cs="Arial" w:eastAsia="Arial" w:hAnsi="Arial"/>
          <w:b w:val="false"/>
          <w:bCs w:val="false"/>
          <w:i w:val="false"/>
          <w:iCs w:val="false"/>
          <w:color w:val="1A1A1A"/>
          <w:sz w:val="20"/>
          <w:szCs w:val="20"/>
        </w:rPr>
        <w:t xml:space="preserve">Entry condition for DEPRESCRIBING_MODE: HbA1c at target (&lt;7.0%) for 12+ consecutive weeks AND eGFR stable (slope &lt; 1 mL/min/month) AND BP controlled. Exit condition: HbA1c rises &gt;0.5% above target after step-down → automatic revert to OPTIMIZATION_MODE.</w:t>
      </w:r>
    </w:p>
    <w:p>
      <w:pPr>
        <w:spacing w:after="0" w:before="80"/>
      </w:pPr>
    </w:p>
    <w:p>
      <w:pPr>
        <w:spacing w:after="80" w:before="60"/>
      </w:pPr>
      <w:r>
        <w:rPr>
          <w:rFonts w:ascii="Arial" w:cs="Arial" w:eastAsia="Arial" w:hAnsi="Arial"/>
          <w:b w:val="false"/>
          <w:bCs w:val="false"/>
          <w:i w:val="false"/>
          <w:iCs w:val="false"/>
          <w:color w:val="1A1A1A"/>
          <w:sz w:val="20"/>
          <w:szCs w:val="20"/>
        </w:rPr>
        <w:t xml:space="preserve">Deprescribing hierarchy (clinical team must encode into KB-23 templates — not left to individual physician judgment):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200"/>
        <w:gridCol w:w="3360"/>
      </w:tblGrid>
      <w:t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Order</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Drug Class</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Deprescribe When</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Rationale</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1st</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Sulfonylurea</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HbA1c at target + hypoglycaemia history OR eGFR &lt;60</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Highest hypoglycaemia risk. Remove first when glycaemia controlled.</w:t>
            </w:r>
          </w:p>
        </w:tc>
      </w:tr>
      <w:tr>
        <w:tc>
          <w:tcPr>
            <w:tcW w:type="dxa" w:w="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2nd</w:t>
            </w:r>
          </w:p>
        </w:tc>
        <w:tc>
          <w:tcPr>
            <w:tcW w:type="dxa" w:w="2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DPP-4 inhibitor</w:t>
            </w:r>
          </w:p>
        </w:tc>
        <w:tc>
          <w:tcPr>
            <w:tcW w:type="dxa" w:w="3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HbA1c at target + on GLP-1 or SGLT2i</w:t>
            </w:r>
          </w:p>
        </w:tc>
        <w:tc>
          <w:tcPr>
            <w:tcW w:type="dxa" w:w="33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Redundant with better agents. Low harm, adds cost.</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3rd</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Basal insulin dose reduction</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FBG consistently 80-100 + no hypoglycaemia in 30 days</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Dose reduction before drug removal. -2U steps, mirror of titration protocol.</w:t>
            </w:r>
          </w:p>
        </w:tc>
      </w:tr>
      <w:tr>
        <w:tc>
          <w:tcPr>
            <w:tcW w:type="dxa" w:w="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Hold</w:t>
            </w:r>
          </w:p>
        </w:tc>
        <w:tc>
          <w:tcPr>
            <w:tcW w:type="dxa" w:w="2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Metformin (if eGFR &gt;45)</w:t>
            </w:r>
          </w:p>
        </w:tc>
        <w:tc>
          <w:tcPr>
            <w:tcW w:type="dxa" w:w="3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Only if intolerant or eGFR &lt;45</w:t>
            </w:r>
          </w:p>
        </w:tc>
        <w:tc>
          <w:tcPr>
            <w:tcW w:type="dxa" w:w="33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Cardioprotective, weight-neutral, cheap. Keep as long as renal function allows.</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Hold</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SGLT2i (if eGFR &gt;45)</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Only if eGFR 30-45 or adverse event</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CKD protective. Reclassify as PAUSE not REMOVE at eGFR 30-45.</w:t>
            </w:r>
          </w:p>
        </w:tc>
      </w:tr>
    </w:tbl>
    <w:p>
      <w:pPr>
        <w:spacing w:after="0" w:before="160"/>
      </w:pPr>
    </w:p>
    <w:p>
      <w:pPr>
        <w:pStyle w:val="Heading2"/>
        <w:spacing w:after="100" w:before="240"/>
      </w:pPr>
      <w:r>
        <w:rPr>
          <w:rFonts w:ascii="Arial" w:cs="Arial" w:eastAsia="Arial" w:hAnsi="Arial"/>
          <w:b/>
          <w:bCs/>
          <w:i w:val="false"/>
          <w:iCs w:val="false"/>
          <w:color w:val="2E75B6"/>
          <w:sz w:val="26"/>
          <w:szCs w:val="26"/>
        </w:rPr>
        <w:t xml:space="preserve">2.2  eGFR Trajectory Engine in KB-20</w:t>
      </w:r>
    </w:p>
    <w:p>
      <w:pPr>
        <w:spacing w:after="80" w:before="60"/>
      </w:pPr>
      <w:r>
        <w:rPr>
          <w:rFonts w:ascii="Arial" w:cs="Arial" w:eastAsia="Arial" w:hAnsi="Arial"/>
          <w:b w:val="false"/>
          <w:bCs w:val="false"/>
          <w:i w:val="false"/>
          <w:iCs w:val="false"/>
          <w:color w:val="1A1A1A"/>
          <w:sz w:val="20"/>
          <w:szCs w:val="20"/>
        </w:rPr>
        <w:t xml:space="preserve">KB-20 currently stores serial eGFR values but does not compute eGFR slope. For a DM+CKD population, eGFR trajectory is the most important deterioration signal — more important than HbA1c trend for clinical urgency.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1"/>
              <w:left w:val="single" w:color="6A0DAD" w:sz="16"/>
              <w:bottom w:val="single" w:color="6A0DAD" w:sz="1"/>
              <w:right w:val="single" w:color="6A0DAD" w:sz="1"/>
            </w:tcBorders>
            <w:shd w:fill="F3E5F5" w:val="clear"/>
            <w:tcMar>
              <w:top w:type="dxa" w:w="120"/>
              <w:left w:type="dxa" w:w="200"/>
              <w:bottom w:type="dxa" w:w="120"/>
              <w:right w:type="dxa" w:w="160"/>
            </w:tcMar>
          </w:tcPr>
          <w:p>
            <w:pPr>
              <w:spacing w:after="80" w:before="40"/>
            </w:pPr>
            <w:r>
              <w:rPr>
                <w:rFonts w:ascii="Arial" w:cs="Arial" w:eastAsia="Arial" w:hAnsi="Arial"/>
                <w:b/>
                <w:bCs/>
                <w:i w:val="false"/>
                <w:iCs w:val="false"/>
                <w:color w:val="6A0DAD"/>
                <w:sz w:val="20"/>
                <w:szCs w:val="20"/>
              </w:rPr>
              <w:t xml:space="preserve">Required Addition: eGFR_slope in KB-20 LabEntry Pipeline</w:t>
            </w:r>
          </w:p>
          <w:p>
            <w:pPr>
              <w:spacing w:after="32" w:before="32"/>
            </w:pPr>
            <w:r>
              <w:rPr>
                <w:rFonts w:ascii="Arial" w:cs="Arial" w:eastAsia="Arial" w:hAnsi="Arial"/>
                <w:b w:val="false"/>
                <w:bCs w:val="false"/>
                <w:i w:val="false"/>
                <w:iCs w:val="false"/>
                <w:color w:val="1A1A1A"/>
                <w:sz w:val="19"/>
                <w:szCs w:val="19"/>
              </w:rPr>
              <w:t xml:space="preserve">Compute eGFR slope from serial creatinine values using linear regression over the last 8-12 weeks minimum.</w:t>
            </w:r>
          </w:p>
          <w:p>
            <w:pPr>
              <w:spacing w:after="32" w:before="32"/>
            </w:pPr>
            <w:r>
              <w:rPr>
                <w:rFonts w:ascii="Arial" w:cs="Arial" w:eastAsia="Arial" w:hAnsi="Arial"/>
                <w:b w:val="false"/>
                <w:bCs w:val="false"/>
                <w:i w:val="false"/>
                <w:iCs w:val="false"/>
                <w:color w:val="1A1A1A"/>
                <w:sz w:val="19"/>
                <w:szCs w:val="19"/>
              </w:rPr>
              <w:t xml:space="preserve">Trigger RENAL_ALERT event when slope exceeds -3 mL/min/1.73m² per month for 8 consecutive weeks.</w:t>
            </w:r>
          </w:p>
          <w:p>
            <w:pPr>
              <w:spacing w:after="32" w:before="32"/>
            </w:pPr>
            <w:r>
              <w:rPr>
                <w:rFonts w:ascii="Arial" w:cs="Arial" w:eastAsia="Arial" w:hAnsi="Arial"/>
                <w:b w:val="false"/>
                <w:bCs w:val="false"/>
                <w:i w:val="false"/>
                <w:iCs w:val="false"/>
                <w:color w:val="1A1A1A"/>
                <w:sz w:val="19"/>
                <w:szCs w:val="19"/>
              </w:rPr>
              <w:t xml:space="preserve">eGFR_slope must be a first-class input to the trajectory classification algorithm (not just current value).</w:t>
            </w:r>
          </w:p>
          <w:p>
            <w:pPr>
              <w:spacing w:after="32" w:before="32"/>
            </w:pPr>
            <w:r>
              <w:rPr>
                <w:rFonts w:ascii="Arial" w:cs="Arial" w:eastAsia="Arial" w:hAnsi="Arial"/>
                <w:b w:val="false"/>
                <w:bCs w:val="false"/>
                <w:i w:val="false"/>
                <w:iCs w:val="false"/>
                <w:color w:val="1A1A1A"/>
                <w:sz w:val="19"/>
                <w:szCs w:val="19"/>
              </w:rPr>
              <w:t xml:space="preserve">Clinical implication: A patient at eGFR 48 trending at -3/month needs SGLT2i PAUSE now, not at eGFR 44. The current 'current value only' approach misses this by 2-4 weeks.</w:t>
            </w:r>
          </w:p>
          <w:p>
            <w:pPr>
              <w:spacing w:after="32" w:before="32"/>
            </w:pPr>
            <w:r>
              <w:rPr>
                <w:rFonts w:ascii="Arial" w:cs="Arial" w:eastAsia="Arial" w:hAnsi="Arial"/>
                <w:b w:val="false"/>
                <w:bCs w:val="false"/>
                <w:i w:val="false"/>
                <w:iCs w:val="false"/>
                <w:color w:val="1A1A1A"/>
                <w:sz w:val="19"/>
                <w:szCs w:val="19"/>
              </w:rPr>
              <w:t xml:space="preserve">V-MCU Channel B already has eGFR rules (B-04, B-07) — these fire on current value. Channel C PG-01/PG-02 fire on current value. The eGFR_slope adds a trajectory-based early warning UPSTREAM of both channels.</w:t>
            </w:r>
          </w:p>
        </w:tc>
      </w:tr>
    </w:tbl>
    <w:p>
      <w:pPr>
        <w:spacing w:after="0" w:before="160"/>
      </w:pPr>
    </w:p>
    <w:p>
      <w:pPr>
        <w:pStyle w:val="Heading2"/>
        <w:spacing w:after="100" w:before="240"/>
      </w:pPr>
      <w:r>
        <w:rPr>
          <w:rFonts w:ascii="Arial" w:cs="Arial" w:eastAsia="Arial" w:hAnsi="Arial"/>
          <w:b/>
          <w:bCs/>
          <w:i w:val="false"/>
          <w:iCs w:val="false"/>
          <w:color w:val="2E75B6"/>
          <w:sz w:val="26"/>
          <w:szCs w:val="26"/>
        </w:rPr>
        <w:t xml:space="preserve">2.3  Data Absence Handling in PhysiologySafetyMonitor</w:t>
      </w:r>
    </w:p>
    <w:p>
      <w:pPr>
        <w:spacing w:after="80" w:before="60"/>
      </w:pPr>
      <w:r>
        <w:rPr>
          <w:rFonts w:ascii="Arial" w:cs="Arial" w:eastAsia="Arial" w:hAnsi="Arial"/>
          <w:b w:val="false"/>
          <w:bCs w:val="false"/>
          <w:i w:val="false"/>
          <w:iCs w:val="false"/>
          <w:color w:val="1A1A1A"/>
          <w:sz w:val="20"/>
          <w:szCs w:val="20"/>
        </w:rPr>
        <w:t xml:space="preserve">Currently, if Channel B cannot obtain a potassium value because no lab has been reported in 14 days, no rule fires — Channel B returns CLEAR. Missing data is treated as safe data. This is clinically incorrect.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1"/>
              <w:left w:val="single" w:color="6A0DAD" w:sz="16"/>
              <w:bottom w:val="single" w:color="6A0DAD" w:sz="1"/>
              <w:right w:val="single" w:color="6A0DAD" w:sz="1"/>
            </w:tcBorders>
            <w:shd w:fill="F3E5F5" w:val="clear"/>
            <w:tcMar>
              <w:top w:type="dxa" w:w="120"/>
              <w:left w:type="dxa" w:w="200"/>
              <w:bottom w:type="dxa" w:w="120"/>
              <w:right w:type="dxa" w:w="160"/>
            </w:tcMar>
          </w:tcPr>
          <w:p>
            <w:pPr>
              <w:spacing w:after="80" w:before="40"/>
            </w:pPr>
            <w:r>
              <w:rPr>
                <w:rFonts w:ascii="Arial" w:cs="Arial" w:eastAsia="Arial" w:hAnsi="Arial"/>
                <w:b/>
                <w:bCs/>
                <w:i w:val="false"/>
                <w:iCs w:val="false"/>
                <w:color w:val="6A0DAD"/>
                <w:sz w:val="20"/>
                <w:szCs w:val="20"/>
              </w:rPr>
              <w:t xml:space="preserve">Required Addition: Stale Lab Detection Rules in Channel B</w:t>
            </w:r>
          </w:p>
          <w:p>
            <w:pPr>
              <w:spacing w:after="32" w:before="32"/>
            </w:pPr>
            <w:r>
              <w:rPr>
                <w:rFonts w:ascii="Arial" w:cs="Arial" w:eastAsia="Arial" w:hAnsi="Arial"/>
                <w:b w:val="false"/>
                <w:bCs w:val="false"/>
                <w:i w:val="false"/>
                <w:iCs w:val="false"/>
                <w:color w:val="1A1A1A"/>
                <w:sz w:val="19"/>
                <w:szCs w:val="19"/>
              </w:rPr>
              <w:t xml:space="preserve">If a required safety lab (K+, creatinine, eGFR) is stale beyond a configurable threshold, Channel B must issue HOLD_DATA, not CLEAR.</w:t>
            </w:r>
          </w:p>
          <w:p>
            <w:pPr>
              <w:spacing w:after="32" w:before="32"/>
            </w:pPr>
            <w:r>
              <w:rPr>
                <w:rFonts w:ascii="Arial" w:cs="Arial" w:eastAsia="Arial" w:hAnsi="Arial"/>
                <w:b w:val="false"/>
                <w:bCs w:val="false"/>
                <w:i w:val="false"/>
                <w:iCs w:val="false"/>
                <w:color w:val="1A1A1A"/>
                <w:sz w:val="19"/>
                <w:szCs w:val="19"/>
              </w:rPr>
              <w:t xml:space="preserve">Proposed thresholds (clinical team must confirm): K+ &gt; 14 days without result → HOLD_DATA. Creatinine &gt; 30 days → HOLD_DATA. eGFR &gt; 30 days → HOLD_DATA.</w:t>
            </w:r>
          </w:p>
          <w:p>
            <w:pPr>
              <w:spacing w:after="32" w:before="32"/>
            </w:pPr>
            <w:r>
              <w:rPr>
                <w:rFonts w:ascii="Arial" w:cs="Arial" w:eastAsia="Arial" w:hAnsi="Arial"/>
                <w:b w:val="false"/>
                <w:bCs w:val="false"/>
                <w:i w:val="false"/>
                <w:iCs w:val="false"/>
                <w:color w:val="1A1A1A"/>
                <w:sz w:val="19"/>
                <w:szCs w:val="19"/>
              </w:rPr>
              <w:t xml:space="preserve">These rules join the existing DA-01–DA-05 data anomaly detection rules. Implementation: add DA-06 through DA-08 in channel_b/monitor.go.</w:t>
            </w:r>
          </w:p>
          <w:p>
            <w:pPr>
              <w:spacing w:after="32" w:before="32"/>
            </w:pPr>
            <w:r>
              <w:rPr>
                <w:rFonts w:ascii="Arial" w:cs="Arial" w:eastAsia="Arial" w:hAnsi="Arial"/>
                <w:b w:val="false"/>
                <w:bCs w:val="false"/>
                <w:i w:val="false"/>
                <w:iCs w:val="false"/>
                <w:color w:val="1A1A1A"/>
                <w:sz w:val="19"/>
                <w:szCs w:val="19"/>
              </w:rPr>
              <w:t xml:space="preserve">Interaction with the titration integrator: HOLD_DATA defers the cycle but does not freeze the integrator. Resume is automatic when fresh lab values arrive — no clinician action required unless HOLD_DATA persists beyond 3 consecutive cycles.</w:t>
            </w:r>
          </w:p>
        </w:tc>
      </w:tr>
    </w:tbl>
    <w:p>
      <w:pPr>
        <w:spacing w:after="0" w:before="160"/>
      </w:pPr>
    </w:p>
    <w:p>
      <w:pPr>
        <w:pStyle w:val="Heading2"/>
        <w:spacing w:after="100" w:before="240"/>
      </w:pPr>
      <w:r>
        <w:rPr>
          <w:rFonts w:ascii="Arial" w:cs="Arial" w:eastAsia="Arial" w:hAnsi="Arial"/>
          <w:b/>
          <w:bCs/>
          <w:i w:val="false"/>
          <w:iCs w:val="false"/>
          <w:color w:val="2E75B6"/>
          <w:sz w:val="26"/>
          <w:szCs w:val="26"/>
        </w:rPr>
        <w:t xml:space="preserve">2.4  Cross-Session Plausibility Arbitration in KB-20</w:t>
      </w:r>
    </w:p>
    <w:p>
      <w:pPr>
        <w:spacing w:after="80" w:before="60"/>
      </w:pPr>
      <w:r>
        <w:rPr>
          <w:rFonts w:ascii="Arial" w:cs="Arial" w:eastAsia="Arial" w:hAnsi="Arial"/>
          <w:b w:val="false"/>
          <w:bCs w:val="false"/>
          <w:i w:val="false"/>
          <w:iCs w:val="false"/>
          <w:color w:val="1A1A1A"/>
          <w:sz w:val="20"/>
          <w:szCs w:val="20"/>
        </w:rPr>
        <w:t xml:space="preserve">Tier -1 emits every patient-reported value as a FHIR Observation. KB-16 performs single-observation interpretation. Neither performs cross-session truth arbitration. A patient reporting FBG 220 in week 1 and FBG 78 in week 2 may represent genuine improvement, measurement error, different device calibration, or food timing difference.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1"/>
              <w:left w:val="single" w:color="6A0DAD" w:sz="16"/>
              <w:bottom w:val="single" w:color="6A0DAD" w:sz="1"/>
              <w:right w:val="single" w:color="6A0DAD" w:sz="1"/>
            </w:tcBorders>
            <w:shd w:fill="F3E5F5" w:val="clear"/>
            <w:tcMar>
              <w:top w:type="dxa" w:w="120"/>
              <w:left w:type="dxa" w:w="200"/>
              <w:bottom w:type="dxa" w:w="120"/>
              <w:right w:type="dxa" w:w="160"/>
            </w:tcMar>
          </w:tcPr>
          <w:p>
            <w:pPr>
              <w:spacing w:after="80" w:before="40"/>
            </w:pPr>
            <w:r>
              <w:rPr>
                <w:rFonts w:ascii="Arial" w:cs="Arial" w:eastAsia="Arial" w:hAnsi="Arial"/>
                <w:b/>
                <w:bCs/>
                <w:i w:val="false"/>
                <w:iCs w:val="false"/>
                <w:color w:val="6A0DAD"/>
                <w:sz w:val="20"/>
                <w:szCs w:val="20"/>
              </w:rPr>
              <w:t xml:space="preserve">Required Addition: Cross-Session Plausibility Check in KB-20</w:t>
            </w:r>
          </w:p>
          <w:p>
            <w:pPr>
              <w:spacing w:after="32" w:before="32"/>
            </w:pPr>
            <w:r>
              <w:rPr>
                <w:rFonts w:ascii="Arial" w:cs="Arial" w:eastAsia="Arial" w:hAnsi="Arial"/>
                <w:b w:val="false"/>
                <w:bCs w:val="false"/>
                <w:i w:val="false"/>
                <w:iCs w:val="false"/>
                <w:color w:val="1A1A1A"/>
                <w:sz w:val="19"/>
                <w:szCs w:val="19"/>
              </w:rPr>
              <w:t xml:space="preserve">KB-20 must check physiological plausibility of incoming observations against the patient's own history (not just population reference ranges).</w:t>
            </w:r>
          </w:p>
          <w:p>
            <w:pPr>
              <w:spacing w:after="32" w:before="32"/>
            </w:pPr>
            <w:r>
              <w:rPr>
                <w:rFonts w:ascii="Arial" w:cs="Arial" w:eastAsia="Arial" w:hAnsi="Arial"/>
                <w:b w:val="false"/>
                <w:bCs w:val="false"/>
                <w:i w:val="false"/>
                <w:iCs w:val="false"/>
                <w:color w:val="1A1A1A"/>
                <w:sz w:val="19"/>
                <w:szCs w:val="19"/>
              </w:rPr>
              <w:t xml:space="preserve">Flag implausible session-over-session changes: FBG delta &gt; 80 mg/dL in 7 days without corresponding medication change → flag for verification, not silent acceptance.</w:t>
            </w:r>
          </w:p>
          <w:p>
            <w:pPr>
              <w:spacing w:after="32" w:before="32"/>
            </w:pPr>
            <w:r>
              <w:rPr>
                <w:rFonts w:ascii="Arial" w:cs="Arial" w:eastAsia="Arial" w:hAnsi="Arial"/>
                <w:b w:val="false"/>
                <w:bCs w:val="false"/>
                <w:i w:val="false"/>
                <w:iCs w:val="false"/>
                <w:color w:val="1A1A1A"/>
                <w:sz w:val="19"/>
                <w:szCs w:val="19"/>
              </w:rPr>
              <w:t xml:space="preserve">Flagged values: include in KB-20 state with UNVERIFIED tag. Do not feed to V-MCU until verified or confirmed by a second measurement within 48h.</w:t>
            </w:r>
          </w:p>
          <w:p>
            <w:pPr>
              <w:spacing w:after="32" w:before="32"/>
            </w:pPr>
            <w:r>
              <w:rPr>
                <w:rFonts w:ascii="Arial" w:cs="Arial" w:eastAsia="Arial" w:hAnsi="Arial"/>
                <w:b w:val="false"/>
                <w:bCs w:val="false"/>
                <w:i w:val="false"/>
                <w:iCs w:val="false"/>
                <w:color w:val="1A1A1A"/>
                <w:sz w:val="19"/>
                <w:szCs w:val="19"/>
              </w:rPr>
              <w:t xml:space="preserve">KB-16 trend engine (truth arbitration) should be the algorithmic source — KB-20 calls KB-16 on each new observation with the patient's 14-day history for cross-session context.</w:t>
            </w:r>
          </w:p>
        </w:tc>
      </w:tr>
    </w:tbl>
    <w:p>
      <w:pPr>
        <w:spacing w:after="0" w:before="160"/>
      </w:pPr>
    </w:p>
    <w:p>
      <w:pPr>
        <w:pStyle w:val="Heading2"/>
        <w:spacing w:after="100" w:before="240"/>
      </w:pPr>
      <w:r>
        <w:rPr>
          <w:rFonts w:ascii="Arial" w:cs="Arial" w:eastAsia="Arial" w:hAnsi="Arial"/>
          <w:b/>
          <w:bCs/>
          <w:i w:val="false"/>
          <w:iCs w:val="false"/>
          <w:color w:val="2E75B6"/>
          <w:sz w:val="26"/>
          <w:szCs w:val="26"/>
        </w:rPr>
        <w:t xml:space="preserve">2.5  Physician SLA Miss Behaviour</w:t>
      </w:r>
    </w:p>
    <w:p>
      <w:pPr>
        <w:spacing w:after="80" w:before="60"/>
      </w:pPr>
      <w:r>
        <w:rPr>
          <w:rFonts w:ascii="Arial" w:cs="Arial" w:eastAsia="Arial" w:hAnsi="Arial"/>
          <w:b w:val="false"/>
          <w:bCs w:val="false"/>
          <w:i w:val="false"/>
          <w:iCs w:val="false"/>
          <w:color w:val="1A1A1A"/>
          <w:sz w:val="20"/>
          <w:szCs w:val="20"/>
        </w:rPr>
        <w:t xml:space="preserve">The architecture specifies SLAs for physician review but does not define what V-MCU does when those SLAs are missed. This is a critical operational gap — in a 500-patient deployment, SLA misses will occur.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400"/>
        <w:gridCol w:w="3160"/>
      </w:tblGrid>
      <w:t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Card Type</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SLA</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V-MCU During SLA</w:t>
            </w:r>
          </w:p>
        </w:tc>
        <w:tc>
          <w:tcPr>
            <w:tcW w:type="dxa" w:w="3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SLA Miss — System Behaviour</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TRAJECTORY REVIEW (GREEN)</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48h</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Continue current protocol</w:t>
            </w:r>
          </w:p>
        </w:tc>
        <w:tc>
          <w:tcPr>
            <w:tcW w:type="dxa" w:w="3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Auto-acknowledge. Log. No patient impact.</w:t>
            </w:r>
          </w:p>
        </w:tc>
      </w:tr>
      <w:tr>
        <w:tc>
          <w:tcPr>
            <w:tcW w:type="dxa" w:w="2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TRAJECTORY REVIEW (YELLOW)</w:t>
            </w:r>
          </w:p>
        </w:tc>
        <w:tc>
          <w:tcPr>
            <w:tcW w:type="dxa" w:w="1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24h</w:t>
            </w:r>
          </w:p>
        </w:tc>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Freeze dose increases</w:t>
            </w:r>
          </w:p>
        </w:tc>
        <w:tc>
          <w:tcPr>
            <w:tcW w:type="dxa" w:w="31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Escalate to supervising physician. Send patient check-in WhatsApp.</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TRAJECTORY REVIEW (RED)</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4h</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PAUSE all titration</w:t>
            </w:r>
          </w:p>
        </w:tc>
        <w:tc>
          <w:tcPr>
            <w:tcW w:type="dxa" w:w="3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V-MCU remains on PAUSE until physician acknowledges. Send 'please call your doctor' WhatsApp to patient.</w:t>
            </w:r>
          </w:p>
        </w:tc>
      </w:tr>
      <w:tr>
        <w:tc>
          <w:tcPr>
            <w:tcW w:type="dxa" w:w="2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MEDICATION REVIEW</w:t>
            </w:r>
          </w:p>
        </w:tc>
        <w:tc>
          <w:tcPr>
            <w:tcW w:type="dxa" w:w="1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24h</w:t>
            </w:r>
          </w:p>
        </w:tc>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Hold dose change pending</w:t>
            </w:r>
          </w:p>
        </w:tc>
        <w:tc>
          <w:tcPr>
            <w:tcW w:type="dxa" w:w="31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Do not apply autonomously. Escalate to supervising physician. V-MCU holds at last approved dose.</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DEPRESCRIBING_PROPOSAL</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72h</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Maintain current ceiling</w:t>
            </w:r>
          </w:p>
        </w:tc>
        <w:tc>
          <w:tcPr>
            <w:tcW w:type="dxa" w:w="3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Auto-extend monitoring window by 72h. Do not step down without approval. Log extension.</w:t>
            </w:r>
          </w:p>
        </w:tc>
      </w:tr>
      <w:tr>
        <w:tc>
          <w:tcPr>
            <w:tcW w:type="dxa" w:w="2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HPI REPORT (RED)</w:t>
            </w:r>
          </w:p>
        </w:tc>
        <w:tc>
          <w:tcPr>
            <w:tcW w:type="dxa" w:w="1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4h</w:t>
            </w:r>
          </w:p>
        </w:tc>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PAUSE if RED</w:t>
            </w:r>
          </w:p>
        </w:tc>
        <w:tc>
          <w:tcPr>
            <w:tcW w:type="dxa" w:w="31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Auto-send 'please call your doctor' WhatsApp if unacknowledged at 4h. SafetyTrace records escalation.</w:t>
            </w:r>
          </w:p>
        </w:tc>
      </w:tr>
    </w:tbl>
    <w:p>
      <w:pPr>
        <w:spacing w:after="0" w:before="80"/>
      </w:pPr>
    </w:p>
    <w:p>
      <w:pPr>
        <w:spacing w:after="80" w:before="60"/>
      </w:pPr>
      <w:r>
        <w:rPr>
          <w:rFonts w:ascii="Arial" w:cs="Arial" w:eastAsia="Arial" w:hAnsi="Arial"/>
          <w:b w:val="false"/>
          <w:bCs w:val="false"/>
          <w:i w:val="false"/>
          <w:iCs w:val="false"/>
          <w:color w:val="1A1A1A"/>
          <w:sz w:val="20"/>
          <w:szCs w:val="20"/>
        </w:rPr>
        <w:t xml:space="preserve">This behaviour table must be encoded in KB-23's card_lifecycle.go and the background job that scans for unacknowledged urgent cards (Phase 4 of KB-23 implementation plan). V-MCU must subscribe to SLA_BREACH events from KB-23 to trigger the appropriate PAUSE state.</w:t>
      </w:r>
    </w:p>
    <w:p>
      <w:pPr>
        <w:spacing w:after="0" w:before="160"/>
      </w:pPr>
    </w:p>
    <w:p>
      <w:pPr>
        <w:pStyle w:val="Heading2"/>
        <w:spacing w:after="100" w:before="240"/>
      </w:pPr>
      <w:r>
        <w:rPr>
          <w:rFonts w:ascii="Arial" w:cs="Arial" w:eastAsia="Arial" w:hAnsi="Arial"/>
          <w:b/>
          <w:bCs/>
          <w:i w:val="false"/>
          <w:iCs w:val="false"/>
          <w:color w:val="2E75B6"/>
          <w:sz w:val="26"/>
          <w:szCs w:val="26"/>
        </w:rPr>
        <w:t xml:space="preserve">2.6  V-MCU Autonomy Limits for v1</w:t>
      </w:r>
    </w:p>
    <w:p>
      <w:pPr>
        <w:spacing w:after="80" w:before="60"/>
      </w:pPr>
      <w:r>
        <w:rPr>
          <w:rFonts w:ascii="Arial" w:cs="Arial" w:eastAsia="Arial" w:hAnsi="Arial"/>
          <w:b w:val="false"/>
          <w:bCs w:val="false"/>
          <w:i w:val="false"/>
          <w:iCs w:val="false"/>
          <w:color w:val="1A1A1A"/>
          <w:sz w:val="20"/>
          <w:szCs w:val="20"/>
        </w:rPr>
        <w:t xml:space="preserve">For the clinical pilot and v1 launch, V-MCU must operate within a bounded autonomy envelope. Physicians authorising a protocol card are legally accountable for all subsequent autonomous titration within that protocol window. This must be explicit in the physician consent flow.</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1"/>
              <w:left w:val="single" w:color="6A0DAD" w:sz="16"/>
              <w:bottom w:val="single" w:color="6A0DAD" w:sz="1"/>
              <w:right w:val="single" w:color="6A0DAD" w:sz="1"/>
            </w:tcBorders>
            <w:shd w:fill="F3E5F5" w:val="clear"/>
            <w:tcMar>
              <w:top w:type="dxa" w:w="120"/>
              <w:left w:type="dxa" w:w="200"/>
              <w:bottom w:type="dxa" w:w="120"/>
              <w:right w:type="dxa" w:w="160"/>
            </w:tcMar>
          </w:tcPr>
          <w:p>
            <w:pPr>
              <w:spacing w:after="80" w:before="40"/>
            </w:pPr>
            <w:r>
              <w:rPr>
                <w:rFonts w:ascii="Arial" w:cs="Arial" w:eastAsia="Arial" w:hAnsi="Arial"/>
                <w:b/>
                <w:bCs/>
                <w:i w:val="false"/>
                <w:iCs w:val="false"/>
                <w:color w:val="6A0DAD"/>
                <w:sz w:val="20"/>
                <w:szCs w:val="20"/>
              </w:rPr>
              <w:t xml:space="preserve">V-MCU v1 Autonomy Constraints</w:t>
            </w:r>
          </w:p>
          <w:p>
            <w:pPr>
              <w:spacing w:after="32" w:before="32"/>
            </w:pPr>
            <w:r>
              <w:rPr>
                <w:rFonts w:ascii="Arial" w:cs="Arial" w:eastAsia="Arial" w:hAnsi="Arial"/>
                <w:b w:val="false"/>
                <w:bCs w:val="false"/>
                <w:i w:val="false"/>
                <w:iCs w:val="false"/>
                <w:color w:val="1A1A1A"/>
                <w:sz w:val="19"/>
                <w:szCs w:val="19"/>
              </w:rPr>
              <w:t xml:space="preserve">Hard limit: V-MCU may not apply dose changes exceeding ±20% of the physician-last-approved dose without generating a new MEDICATION_REVIEW card.</w:t>
            </w:r>
          </w:p>
          <w:p>
            <w:pPr>
              <w:spacing w:after="32" w:before="32"/>
            </w:pPr>
            <w:r>
              <w:rPr>
                <w:rFonts w:ascii="Arial" w:cs="Arial" w:eastAsia="Arial" w:hAnsi="Arial"/>
                <w:b w:val="false"/>
                <w:bCs w:val="false"/>
                <w:i w:val="false"/>
                <w:iCs w:val="false"/>
                <w:color w:val="1A1A1A"/>
                <w:sz w:val="19"/>
                <w:szCs w:val="19"/>
              </w:rPr>
              <w:t xml:space="preserve">Shadow mode for pilot: V-MCU proposes titrations for the first 30 days. Physician reviews each one. Autonomous mode only after physician agreement rate exceeds 90% over 30 days.</w:t>
            </w:r>
          </w:p>
          <w:p>
            <w:pPr>
              <w:spacing w:after="32" w:before="32"/>
            </w:pPr>
            <w:r>
              <w:rPr>
                <w:rFonts w:ascii="Arial" w:cs="Arial" w:eastAsia="Arial" w:hAnsi="Arial"/>
                <w:b w:val="false"/>
                <w:bCs w:val="false"/>
                <w:i w:val="false"/>
                <w:iCs w:val="false"/>
                <w:color w:val="1A1A1A"/>
                <w:sz w:val="19"/>
                <w:szCs w:val="19"/>
              </w:rPr>
              <w:t xml:space="preserve">The ±20% limit must be enforced in titration/engine.go as a hard cap in ComputeDose(), documented as the v1_autonomy_envelope config parameter.</w:t>
            </w:r>
          </w:p>
          <w:p>
            <w:pPr>
              <w:spacing w:after="32" w:before="32"/>
            </w:pPr>
            <w:r>
              <w:rPr>
                <w:rFonts w:ascii="Arial" w:cs="Arial" w:eastAsia="Arial" w:hAnsi="Arial"/>
                <w:b w:val="false"/>
                <w:bCs w:val="false"/>
                <w:i w:val="false"/>
                <w:iCs w:val="false"/>
                <w:color w:val="1A1A1A"/>
                <w:sz w:val="19"/>
                <w:szCs w:val="19"/>
              </w:rPr>
              <w:t xml:space="preserve">Legal accountability note: every physician approval commits them to a titration protocol window, not a single dose. This must be surfaced explicitly in the Decision Card consent UI.</w:t>
            </w:r>
          </w:p>
        </w:tc>
      </w:tr>
    </w:tbl>
    <w:p>
      <w:pPr>
        <w:spacing w:after="0" w:before="160"/>
      </w:pPr>
    </w:p>
    <w:p>
      <w:pPr>
        <w:pBdr>
          <w:bottom w:val="single" w:color="2E75B6" w:sz="6"/>
        </w:pBdr>
        <w:spacing w:after="160" w:before="160"/>
      </w:pPr>
    </w:p>
    <w:p>
      <w:pPr>
        <w:pStyle w:val="Heading1"/>
        <w:spacing w:after="100" w:before="300"/>
      </w:pPr>
      <w:r>
        <w:rPr>
          <w:rFonts w:ascii="Arial" w:cs="Arial" w:eastAsia="Arial" w:hAnsi="Arial"/>
          <w:b/>
          <w:bCs/>
          <w:i w:val="false"/>
          <w:iCs w:val="false"/>
          <w:color w:val="1F4E79"/>
          <w:sz w:val="34"/>
          <w:szCs w:val="34"/>
        </w:rPr>
        <w:t xml:space="preserve">Part 3 — Simulation Environment: Non-Negotiable Pre-Requisite</w:t>
      </w:r>
    </w:p>
    <w:p>
      <w:pPr>
        <w:spacing w:after="80" w:before="60"/>
      </w:pPr>
      <w:r>
        <w:rPr>
          <w:rFonts w:ascii="Arial" w:cs="Arial" w:eastAsia="Arial" w:hAnsi="Arial"/>
          <w:b w:val="false"/>
          <w:bCs w:val="false"/>
          <w:i w:val="false"/>
          <w:iCs w:val="false"/>
          <w:color w:val="1A1A1A"/>
          <w:sz w:val="20"/>
          <w:szCs w:val="20"/>
        </w:rPr>
        <w:t xml:space="preserve">No closed-loop insulin titration system should connect to real patients without first being validated against synthetic edge-case trajectories. The simulation environment is a safety requirement, not a testing convenience. The March 2026 review is correct that this is Step 0 — before any patient connection.</w:t>
      </w:r>
    </w:p>
    <w:p>
      <w:pPr>
        <w:spacing w:after="0" w:before="80"/>
      </w:pPr>
    </w:p>
    <w:p>
      <w:pPr>
        <w:spacing w:after="80" w:before="60"/>
      </w:pPr>
      <w:r>
        <w:rPr>
          <w:rFonts w:ascii="Arial" w:cs="Arial" w:eastAsia="Arial" w:hAnsi="Arial"/>
          <w:b w:val="false"/>
          <w:bCs w:val="false"/>
          <w:i w:val="false"/>
          <w:iCs w:val="false"/>
          <w:color w:val="1A1A1A"/>
          <w:sz w:val="20"/>
          <w:szCs w:val="20"/>
        </w:rPr>
        <w:t xml:space="preserve">Eight synthetic scenarios must all pass before clinical pilot. These are the minimum — clinical team may add more.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Scenario</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Expected System Behaviour</w:t>
            </w:r>
          </w:p>
        </w:tc>
        <w:tc>
          <w:tcPr>
            <w:tcW w:type="dxa" w:w="3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Pass Criterion</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GREEN trajectory — 12 weeks sustained</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DEPRESCRIBING_PROPOSAL card generated. V-MCU shifts to DEPRESCRIBING_MODE. Dose ceiling reduced.</w:t>
            </w:r>
          </w:p>
        </w:tc>
        <w:tc>
          <w:tcPr>
            <w:tcW w:type="dxa" w:w="3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Card within 1 cycle of 12th GREEN week. V-MCU delta direction inverts.</w:t>
            </w:r>
          </w:p>
        </w:tc>
      </w:tr>
      <w:tr>
        <w:tc>
          <w:tcPr>
            <w:tcW w:type="dxa" w:w="2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AKI mid-titration (creatinine spike day 30)</w:t>
            </w:r>
          </w:p>
        </w:tc>
        <w:tc>
          <w:tcPr>
            <w:tcW w:type="dxa" w:w="3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Channel B HALT fires. V-MCU integrator freezes. 3-phase re-entry on resolution. Channel C PG-01 stops metformin.</w:t>
            </w:r>
          </w:p>
        </w:tc>
        <w:tc>
          <w:tcPr>
            <w:tcW w:type="dxa" w:w="35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HALT within 1 cycle of spike. Zero dose change during HALT. Re-entry follows 3-phase.</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Active hypoglycaemia + insulin increase proposed</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All 3 channels HALT. No dose change. SafetyTrace records all three.</w:t>
            </w:r>
          </w:p>
        </w:tc>
        <w:tc>
          <w:tcPr>
            <w:tcW w:type="dxa" w:w="3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Three-channel confirmation. DominantChannel=B. Zero dose output.</w:t>
            </w:r>
          </w:p>
        </w:tc>
      </w:tr>
      <w:tr>
        <w:tc>
          <w:tcPr>
            <w:tcW w:type="dxa" w:w="2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5-day data drop-out (patient goes silent)</w:t>
            </w:r>
          </w:p>
        </w:tc>
        <w:tc>
          <w:tcPr>
            <w:tcW w:type="dxa" w:w="3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HOLD_DATA on day 3 (stale K+). V-MCU defers. Physician notified on day 5.</w:t>
            </w:r>
          </w:p>
        </w:tc>
        <w:tc>
          <w:tcPr>
            <w:tcW w:type="dxa" w:w="35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No titration during blackout. Missing data treated as unsafe.</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Non-adherent patient (adherence 0.30)</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gain_factor=0.25. Titration at 25% normal speed. BEHAVIORAL_GAP card generated.</w:t>
            </w:r>
          </w:p>
        </w:tc>
        <w:tc>
          <w:tcPr>
            <w:tcW w:type="dxa" w:w="3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V-MCU dose delta ≤ 25% of calculated delta. KB-23 MCU_GATE=MODIFY.</w:t>
            </w:r>
          </w:p>
        </w:tc>
      </w:tr>
      <w:tr>
        <w:tc>
          <w:tcPr>
            <w:tcW w:type="dxa" w:w="2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Glycaemic escape despite good adherence</w:t>
            </w:r>
          </w:p>
        </w:tc>
        <w:tc>
          <w:tcPr>
            <w:tcW w:type="dxa" w:w="3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DISCORDANT event. TRAJECTORY REVIEW RED card. V-MCU velocity increase pending physician approval.</w:t>
            </w:r>
          </w:p>
        </w:tc>
        <w:tc>
          <w:tcPr>
            <w:tcW w:type="dxa" w:w="35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KB-21 OutcomeCorrelation fires automatically on LAB_RESULT event. Card within 1 cycle.</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eGFR declining &gt;3/month for 8 weeks</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RENAL_ALERT event. SGLT2i PAUSE if eGFR &lt;45. MEDICATION_REVIEW card.</w:t>
            </w:r>
          </w:p>
        </w:tc>
        <w:tc>
          <w:tcPr>
            <w:tcW w:type="dxa" w:w="3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Correct drug class flags within 1 cycle of threshold crossing.</w:t>
            </w:r>
          </w:p>
        </w:tc>
      </w:tr>
      <w:tr>
        <w:tc>
          <w:tcPr>
            <w:tcW w:type="dxa" w:w="2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Integrator resume after 5-day HALT</w:t>
            </w:r>
          </w:p>
        </w:tc>
        <w:tc>
          <w:tcPr>
            <w:tcW w:type="dxa" w:w="3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Rate limiter: 50% normal delta for ceil(120/24)=5 cycles post-resume. No dose overshoot.</w:t>
            </w:r>
          </w:p>
        </w:tc>
        <w:tc>
          <w:tcPr>
            <w:tcW w:type="dxa" w:w="35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Doses within 50% cap for 5 cycles. SafetyTrace records resume state.</w:t>
            </w:r>
          </w:p>
        </w:tc>
      </w:tr>
    </w:tbl>
    <w:p>
      <w:pPr>
        <w:spacing w:after="0" w:before="160"/>
      </w:pPr>
    </w:p>
    <w:p>
      <w:pPr>
        <w:spacing w:after="80" w:before="60"/>
      </w:pPr>
      <w:r>
        <w:rPr>
          <w:rFonts w:ascii="Arial" w:cs="Arial" w:eastAsia="Arial" w:hAnsi="Arial"/>
          <w:b w:val="false"/>
          <w:bCs w:val="false"/>
          <w:i w:val="false"/>
          <w:iCs w:val="false"/>
          <w:color w:val="1A1A1A"/>
          <w:sz w:val="20"/>
          <w:szCs w:val="20"/>
        </w:rPr>
        <w:t xml:space="preserve">Implementation approach: a standalone simulation harness that drives V-MCU's RunCycle() with synthetic KB-20 responses (no real database, no real patients). The harness must be committed alongside V-MCU and run as part of CI — not as a one-time exercise. Each simulation scenario becomes a regression test.</w:t>
      </w:r>
    </w:p>
    <w:p>
      <w:pPr>
        <w:spacing w:after="0" w:before="160"/>
      </w:pPr>
    </w:p>
    <w:p>
      <w:pPr>
        <w:pBdr>
          <w:bottom w:val="single" w:color="2E75B6" w:sz="6"/>
        </w:pBdr>
        <w:spacing w:after="160" w:before="160"/>
      </w:pPr>
    </w:p>
    <w:p>
      <w:r>
        <w:br w:type="page"/>
      </w:r>
    </w:p>
    <w:p>
      <w:pPr>
        <w:pStyle w:val="Heading1"/>
        <w:spacing w:after="100" w:before="300"/>
      </w:pPr>
      <w:r>
        <w:rPr>
          <w:rFonts w:ascii="Arial" w:cs="Arial" w:eastAsia="Arial" w:hAnsi="Arial"/>
          <w:b/>
          <w:bCs/>
          <w:i w:val="false"/>
          <w:iCs w:val="false"/>
          <w:color w:val="1F4E79"/>
          <w:sz w:val="34"/>
          <w:szCs w:val="34"/>
        </w:rPr>
        <w:t xml:space="preserve">Part 4 — Final Priority Register</w:t>
      </w:r>
    </w:p>
    <w:p>
      <w:pPr>
        <w:spacing w:after="80" w:before="60"/>
      </w:pPr>
      <w:r>
        <w:rPr>
          <w:rFonts w:ascii="Arial" w:cs="Arial" w:eastAsia="Arial" w:hAnsi="Arial"/>
          <w:b w:val="false"/>
          <w:bCs w:val="false"/>
          <w:i w:val="false"/>
          <w:iCs w:val="false"/>
          <w:color w:val="1A1A1A"/>
          <w:sz w:val="20"/>
          <w:szCs w:val="20"/>
        </w:rPr>
        <w:t xml:space="preserve">This is the authoritative consolidated list of every open item across all services. Items are ordered by the sequence in which they must be resolved — not by severity in isolation, but by build dependency and clinical risk combined.</w:t>
      </w:r>
    </w:p>
    <w:p>
      <w:pPr>
        <w:spacing w:after="0" w:before="80"/>
      </w:pPr>
    </w:p>
    <w:p>
      <w:pPr>
        <w:pStyle w:val="Heading2"/>
        <w:spacing w:after="100" w:before="240"/>
      </w:pPr>
      <w:r>
        <w:rPr>
          <w:rFonts w:ascii="Arial" w:cs="Arial" w:eastAsia="Arial" w:hAnsi="Arial"/>
          <w:b/>
          <w:bCs/>
          <w:i w:val="false"/>
          <w:iCs w:val="false"/>
          <w:color w:val="2E75B6"/>
          <w:sz w:val="26"/>
          <w:szCs w:val="26"/>
        </w:rPr>
        <w:t xml:space="preserve">4.1  P0 — Must Resolve Before Any Integration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400"/>
        <w:gridCol w:w="4360"/>
      </w:tblGrid>
      <w:t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Item</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Component</w:t>
            </w:r>
          </w:p>
        </w:tc>
        <w:tc>
          <w:tcPr>
            <w:tcW w:type="dxa" w:w="4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Required Action</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P0-1</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Authoritative port registry</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Project-wide</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Create ports.yaml as single source of truth. Add CI validation that docker-compose and config.go defaults match it. Resolves 15+ silent connection failures before they manifest in integration testing.</w:t>
            </w:r>
          </w:p>
        </w:tc>
      </w:tr>
      <w:tr>
        <w:tc>
          <w:tcPr>
            <w:tcW w:type="dxa" w:w="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P0-2</w:t>
            </w:r>
          </w:p>
        </w:tc>
        <w:tc>
          <w:tcPr>
            <w:tcW w:type="dxa" w:w="3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KB-21 / KB-8 port collision (both on 8093)</w:t>
            </w:r>
          </w:p>
        </w:tc>
        <w:tc>
          <w:tcPr>
            <w:tcW w:type="dxa" w:w="1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KB-21</w:t>
            </w:r>
          </w:p>
        </w:tc>
        <w:tc>
          <w:tcPr>
            <w:tcW w:type="dxa" w:w="43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Redeploy KB-21 on 8133. Update docker-compose, config.go, CLAUDE.md, and KB-22's KB21URL reference in the same commit.</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P0-3</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KB-5 port in KB-22 config (8089 → 8085)</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KB-22</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config.go KB5URL default to 8085. docker-compose fix. Confirm gRPC target is 8086 for medication_safety_provider.go latency budget.</w:t>
            </w:r>
          </w:p>
        </w:tc>
      </w:tr>
      <w:tr>
        <w:tc>
          <w:tcPr>
            <w:tcW w:type="dxa" w:w="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P0-4</w:t>
            </w:r>
          </w:p>
        </w:tc>
        <w:tc>
          <w:tcPr>
            <w:tcW w:type="dxa" w:w="3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KB-19 port in KB-22 config (8129 → 8099)</w:t>
            </w:r>
          </w:p>
        </w:tc>
        <w:tc>
          <w:tcPr>
            <w:tcW w:type="dxa" w:w="1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KB-22</w:t>
            </w:r>
          </w:p>
        </w:tc>
        <w:tc>
          <w:tcPr>
            <w:tcW w:type="dxa" w:w="43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config.go KB19URL default to 8099. docker-compose fix. Every HPI completion notification has silently failed since deployment.</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P0-5</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KB-20 LAB_RESULT event publication</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KB-20</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Add EventLabResult to event_bus.go. Publish on HbA1c and eGFR LabEntry creation. Also publish from fhir_sync_worker.go or FHIR-sourced values never trigger OutcomeCorrelation.</w:t>
            </w:r>
          </w:p>
        </w:tc>
      </w:tr>
    </w:tbl>
    <w:p>
      <w:pPr>
        <w:spacing w:after="0" w:before="160"/>
      </w:pPr>
    </w:p>
    <w:p>
      <w:pPr>
        <w:pStyle w:val="Heading2"/>
        <w:spacing w:after="100" w:before="240"/>
      </w:pPr>
      <w:r>
        <w:rPr>
          <w:rFonts w:ascii="Arial" w:cs="Arial" w:eastAsia="Arial" w:hAnsi="Arial"/>
          <w:b/>
          <w:bCs/>
          <w:i w:val="false"/>
          <w:iCs w:val="false"/>
          <w:color w:val="2E75B6"/>
          <w:sz w:val="26"/>
          <w:szCs w:val="26"/>
        </w:rPr>
        <w:t xml:space="preserve">4.2  P1 — Must Resolve Before Clinical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400"/>
        <w:gridCol w:w="4360"/>
      </w:tblGrid>
      <w:t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Item</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Component</w:t>
            </w:r>
          </w:p>
        </w:tc>
        <w:tc>
          <w:tcPr>
            <w:tcW w:type="dxa" w:w="4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Required Action</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P1-1</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V-MCU Channel B — 4 missing safety rules</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V-MCU</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Add: SBP&lt;90→HALT (B-08), K+&gt;6.0→HALT (B-09), creatinine 48h delta&gt;26µmol/L→HALT (B-10), weight 72h delta&gt;2.5kg→PAUSE (B-11). Add declining glucose + recent dose increase + current&lt;5.5→PAUSE (B-12). All are DA-adjacent rules, same pattern as existing Channel B rules.</w:t>
            </w:r>
          </w:p>
        </w:tc>
      </w:tr>
      <w:tr>
        <w:tc>
          <w:tcPr>
            <w:tcW w:type="dxa" w:w="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P1-2</w:t>
            </w:r>
          </w:p>
        </w:tc>
        <w:tc>
          <w:tcPr>
            <w:tcW w:type="dxa" w:w="3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V-MCU K+ threshold clinical sign-off</w:t>
            </w:r>
          </w:p>
        </w:tc>
        <w:tc>
          <w:tcPr>
            <w:tcW w:type="dxa" w:w="1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V-MCU / Clinical</w:t>
            </w:r>
          </w:p>
        </w:tc>
        <w:tc>
          <w:tcPr>
            <w:tcW w:type="dxa" w:w="43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B-03 uses 3.5 (spec says 3.0). Correct direction (more conservative) but clinical team must formally approve the deviation. If approved, document in channel_b/monitor.go with sign-off reference.</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P1-3</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V-MCU eGFR Channel B rules — clinical rationale</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V-MCU / Clinical</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B-04 and B-07 are not in specification. Either get clinical sign-off that eGFR&lt;15 is a universal titration stop regardless of medications, or remove and rely on Channel C PG-01/PG-02 for drug-specific eGFR gating.</w:t>
            </w:r>
          </w:p>
        </w:tc>
      </w:tr>
      <w:tr>
        <w:tc>
          <w:tcPr>
            <w:tcW w:type="dxa" w:w="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P1-4</w:t>
            </w:r>
          </w:p>
        </w:tc>
        <w:tc>
          <w:tcPr>
            <w:tcW w:type="dxa" w:w="3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V-MCU MetabolicPhysiologyEngine 7 types verification</w:t>
            </w:r>
          </w:p>
        </w:tc>
        <w:tc>
          <w:tcPr>
            <w:tcW w:type="dxa" w:w="1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V-MCU / KB-23</w:t>
            </w:r>
          </w:p>
        </w:tc>
        <w:tc>
          <w:tcPr>
            <w:tcW w:type="dxa" w:w="43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Confirm all 7 HyperglycaemiaMechanism types are documented, clinically reviewed, and that ComputeDose() branches and KB-23 template gate rules cover all 7. Document expansion from spec's 4.</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P1-5</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V-MCU autonomy ±20% limit</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V-MCU</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Add v1_autonomy_envelope config parameter. Enforce hard cap in titration/engine.go ComputeDose(). This is both a safety constraint and a legal requirement for v1.</w:t>
            </w:r>
          </w:p>
        </w:tc>
      </w:tr>
      <w:tr>
        <w:tc>
          <w:tcPr>
            <w:tcW w:type="dxa" w:w="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P1-6</w:t>
            </w:r>
          </w:p>
        </w:tc>
        <w:tc>
          <w:tcPr>
            <w:tcW w:type="dxa" w:w="3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KB-21 /answer-reliability endpoint</w:t>
            </w:r>
          </w:p>
        </w:tc>
        <w:tc>
          <w:tcPr>
            <w:tcW w:type="dxa" w:w="1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KB-21</w:t>
            </w:r>
          </w:p>
        </w:tc>
        <w:tc>
          <w:tcPr>
            <w:tcW w:type="dxa" w:w="43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Build GET /api/v1/patient/{id}/reliability-modifier using existing QuestionTelemetry (pata_nahi_rate, information_yield) and EngagementProfile data. Formula: loop_trust_score × (1 − pata_nahi_rate) × information_yield, floor 0.3, default 0.85. R-03 in KB-22 has been silently at 1.0.</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P1-7</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AG-01 TreatmentPerturbation in KB-22</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KB-22</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Add optional third parallel fetch in session_context_provider.go: GET /perturbations/:patient_id/active from KB-23. Add stability_factor and affectedObservables parameters to BayesianUpdate(). Apply dampening after reliability weighting, before cluster dampening, only for questions whose ObservableType is in affectedObservables.</w:t>
            </w:r>
          </w:p>
        </w:tc>
      </w:tr>
      <w:tr>
        <w:tc>
          <w:tcPr>
            <w:tcW w:type="dxa" w:w="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P1-8</w:t>
            </w:r>
          </w:p>
        </w:tc>
        <w:tc>
          <w:tcPr>
            <w:tcW w:type="dxa" w:w="3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Simulation environment (8 scenarios)</w:t>
            </w:r>
          </w:p>
        </w:tc>
        <w:tc>
          <w:tcPr>
            <w:tcW w:type="dxa" w:w="1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V-MCU harness</w:t>
            </w:r>
          </w:p>
        </w:tc>
        <w:tc>
          <w:tcPr>
            <w:tcW w:type="dxa" w:w="43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Build before connecting to any real patient. See Part 3 for required scenarios. Commit as CI regression tests.</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P1-9</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Physician SLA miss behaviour</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KB-23</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Implement in card_lifecycle.go background job and SLA_BREACH event to V-MCU. See Part 2.5 for full behaviour table.</w:t>
            </w:r>
          </w:p>
        </w:tc>
      </w:tr>
    </w:tbl>
    <w:p>
      <w:pPr>
        <w:spacing w:after="0" w:before="160"/>
      </w:pPr>
    </w:p>
    <w:p>
      <w:pPr>
        <w:pStyle w:val="Heading2"/>
        <w:spacing w:after="100" w:before="240"/>
      </w:pPr>
      <w:r>
        <w:rPr>
          <w:rFonts w:ascii="Arial" w:cs="Arial" w:eastAsia="Arial" w:hAnsi="Arial"/>
          <w:b/>
          <w:bCs/>
          <w:i w:val="false"/>
          <w:iCs w:val="false"/>
          <w:color w:val="2E75B6"/>
          <w:sz w:val="26"/>
          <w:szCs w:val="26"/>
        </w:rPr>
        <w:t xml:space="preserve">4.3  P2 — Specification Gaps (Must Be Specified Before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400"/>
        <w:gridCol w:w="4360"/>
      </w:tblGrid>
      <w:t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Item</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Component</w:t>
            </w:r>
          </w:p>
        </w:tc>
        <w:tc>
          <w:tcPr>
            <w:tcW w:type="dxa" w:w="4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Required Action</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P2-1</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DEPRESCRIBING_MODE in KB-20</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KB-20 spec</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Add OPTIMIZATION_MODE / DEPRESCRIBING_MODE to patient state. Define entry (12 weeks GREEN + stable eGFR + controlled BP) and exit (HbA1c +0.5% after step-down) conditions. V-MCU must read mode before computing dose delta direction.</w:t>
            </w:r>
          </w:p>
        </w:tc>
      </w:tr>
      <w:tr>
        <w:tc>
          <w:tcPr>
            <w:tcW w:type="dxa" w:w="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P2-2</w:t>
            </w:r>
          </w:p>
        </w:tc>
        <w:tc>
          <w:tcPr>
            <w:tcW w:type="dxa" w:w="3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DEPRESCRIBING_PROPOSAL card type in KB-23</w:t>
            </w:r>
          </w:p>
        </w:tc>
        <w:tc>
          <w:tcPr>
            <w:tcW w:type="dxa" w:w="1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KB-23</w:t>
            </w:r>
          </w:p>
        </w:tc>
        <w:tc>
          <w:tcPr>
            <w:tcW w:type="dxa" w:w="43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Add 6th card type with deprescribing hierarchy rules (encoded in YAML templates). SLA: 72h. V-MCU behaviour: reduce dose ceiling, not increase. Add to card_lifecycle.go and KB-19 event types.</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P2-3</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eGFR slope computation in KB-20</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KB-20 spec</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Add eGFR_slope to LabEntry processing pipeline. Compute from serial creatinine. Trigger RENAL_ALERT at -3 mL/min/month sustained 8 weeks. First-class input to trajectory classification algorithm.</w:t>
            </w:r>
          </w:p>
        </w:tc>
      </w:tr>
      <w:tr>
        <w:tc>
          <w:tcPr>
            <w:tcW w:type="dxa" w:w="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P2-4</w:t>
            </w:r>
          </w:p>
        </w:tc>
        <w:tc>
          <w:tcPr>
            <w:tcW w:type="dxa" w:w="3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Stale lab → HOLD_DATA rules in V-MCU Channel B</w:t>
            </w:r>
          </w:p>
        </w:tc>
        <w:tc>
          <w:tcPr>
            <w:tcW w:type="dxa" w:w="1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V-MCU spec</w:t>
            </w:r>
          </w:p>
        </w:tc>
        <w:tc>
          <w:tcPr>
            <w:tcW w:type="dxa" w:w="43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Add DA-06 through DA-08: K+ stale &gt;14 days → HOLD_DATA, creatinine stale &gt;30 days → HOLD_DATA, eGFR stale &gt;30 days → HOLD_DATA. Thresholds must be clinically confirmed.</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P2-5</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Cross-session plausibility arbitration</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KB-20 spec</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Define implausibility thresholds for patient-reported values (FBG delta &gt;80 mg/dL in 7 days without medication change). Tag implausible values UNVERIFIED. Do not feed to V-MCU until verified. Call KB-16 truth arbitration with patient 14-day history context.</w:t>
            </w:r>
          </w:p>
        </w:tc>
      </w:tr>
      <w:tr>
        <w:tc>
          <w:tcPr>
            <w:tcW w:type="dxa" w:w="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P2-6</w:t>
            </w:r>
          </w:p>
        </w:tc>
        <w:tc>
          <w:tcPr>
            <w:tcW w:type="dxa" w:w="3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CTL Panel 3 — V-MCU SafetyTrace enrichment</w:t>
            </w:r>
          </w:p>
        </w:tc>
        <w:tc>
          <w:tcPr>
            <w:tcW w:type="dxa" w:w="1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KB-23 backlog</w:t>
            </w:r>
          </w:p>
        </w:tc>
        <w:tc>
          <w:tcPr>
            <w:tcW w:type="dxa" w:w="43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When V-MCU is deployed, add GET /safety-trace/:patient_id/latest to V-MCU API. KB-23 CardBuilder.Build() reads this to populate Channel B and Channel C signals in Panel 3. Currently Panel 3 shows Channel A + KB-22 flags only.</w:t>
            </w:r>
          </w:p>
        </w:tc>
      </w:tr>
    </w:tbl>
    <w:p>
      <w:pPr>
        <w:spacing w:after="0" w:before="160"/>
      </w:pPr>
    </w:p>
    <w:p>
      <w:pPr>
        <w:pStyle w:val="Heading2"/>
        <w:spacing w:after="100" w:before="240"/>
      </w:pPr>
      <w:r>
        <w:rPr>
          <w:rFonts w:ascii="Arial" w:cs="Arial" w:eastAsia="Arial" w:hAnsi="Arial"/>
          <w:b/>
          <w:bCs/>
          <w:i w:val="false"/>
          <w:iCs w:val="false"/>
          <w:color w:val="2E75B6"/>
          <w:sz w:val="26"/>
          <w:szCs w:val="26"/>
        </w:rPr>
        <w:t xml:space="preserve">4.4  P3 — Engineering Quality (Pre-Production)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400"/>
        <w:gridCol w:w="4360"/>
      </w:tblGrid>
      <w:t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Item</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Component</w:t>
            </w:r>
          </w:p>
        </w:tc>
        <w:tc>
          <w:tcPr>
            <w:tcW w:type="dxa" w:w="4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Required Action</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P3-1</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CTL Panel 2 aggregation — per-recommendation, not worst-case</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KB-23</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Remove card-level guideline_condition_status worst-case collapse. Surface ConditionStatus per recommendation. Physician scans individual recommendation status, not a single card-level flag that loses information.</w:t>
            </w:r>
          </w:p>
        </w:tc>
      </w:tr>
      <w:tr>
        <w:tc>
          <w:tcPr>
            <w:tcW w:type="dxa" w:w="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P3-2</w:t>
            </w:r>
          </w:p>
        </w:tc>
        <w:tc>
          <w:tcPr>
            <w:tcW w:type="dxa" w:w="3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Redis TTL for abandoned KB-22 sessions</w:t>
            </w:r>
          </w:p>
        </w:tc>
        <w:tc>
          <w:tcPr>
            <w:tcW w:type="dxa" w:w="1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KB-22</w:t>
            </w:r>
          </w:p>
        </w:tc>
        <w:tc>
          <w:tcPr>
            <w:tcW w:type="dxa" w:w="43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Add TTL to reasoning chain Redis key equal to session abandon threshold (25h). Reset on each SubmitAnswer. Delete on completion. Redis expires orphaned chains naturally.</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P3-3</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IG threshold configurable parameter</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KB-22</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Change hardcoded 0.01 to configurable REASONING_IG_THRESHOLD in config.go. Recommended starting value: 0.05. Clinical team validates against real session data in pilot.</w:t>
            </w:r>
          </w:p>
        </w:tc>
      </w:tr>
      <w:tr>
        <w:tc>
          <w:tcPr>
            <w:tcW w:type="dxa" w:w="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P3-4</w:t>
            </w:r>
          </w:p>
        </w:tc>
        <w:tc>
          <w:tcPr>
            <w:tcW w:type="dxa" w:w="3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Apollo Federation — KB-20 through KB-23 schemas</w:t>
            </w:r>
          </w:p>
        </w:tc>
        <w:tc>
          <w:tcPr>
            <w:tcW w:type="dxa" w:w="1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Apollo</w:t>
            </w:r>
          </w:p>
        </w:tc>
        <w:tc>
          <w:tcPr>
            <w:tcW w:type="dxa" w:w="43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Add KB-20 through KB-23 to supergraph. Required for physician UI to query MCU_GATE and Decision Cards via GraphQL. Schedule with KB-23 Phase 5.</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P3-5</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KB-7 port correction (8092 actual vs 8087 in docs)</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Project-wide</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Update architecture doc and any config references. KB-7 actual port is 8092.</w:t>
            </w:r>
          </w:p>
        </w:tc>
      </w:tr>
    </w:tbl>
    <w:p>
      <w:pPr>
        <w:spacing w:after="0" w:before="160"/>
      </w:pPr>
    </w:p>
    <w:p>
      <w:pPr>
        <w:pBdr>
          <w:bottom w:val="single" w:color="2E75B6" w:sz="6"/>
        </w:pBdr>
        <w:spacing w:after="160" w:before="160"/>
      </w:pPr>
    </w:p>
    <w:p>
      <w:pPr>
        <w:pStyle w:val="Heading1"/>
        <w:spacing w:after="100" w:before="300"/>
      </w:pPr>
      <w:r>
        <w:rPr>
          <w:rFonts w:ascii="Arial" w:cs="Arial" w:eastAsia="Arial" w:hAnsi="Arial"/>
          <w:b/>
          <w:bCs/>
          <w:i w:val="false"/>
          <w:iCs w:val="false"/>
          <w:color w:val="1F4E79"/>
          <w:sz w:val="34"/>
          <w:szCs w:val="34"/>
        </w:rPr>
        <w:t xml:space="preserve">Part 5 — Final Build Sequence to Clinical Pilot</w:t>
      </w:r>
    </w:p>
    <w:p>
      <w:pPr>
        <w:spacing w:after="80" w:before="60"/>
      </w:pPr>
      <w:r>
        <w:rPr>
          <w:rFonts w:ascii="Arial" w:cs="Arial" w:eastAsia="Arial" w:hAnsi="Arial"/>
          <w:b w:val="false"/>
          <w:bCs w:val="false"/>
          <w:i w:val="false"/>
          <w:iCs w:val="false"/>
          <w:color w:val="1A1A1A"/>
          <w:sz w:val="20"/>
          <w:szCs w:val="20"/>
        </w:rPr>
        <w:t xml:space="preserve">The following sequence reflects the true critical-path dependency order. No step can be skipped — each unblocks the next. Estimated durations are engineering estimates, not clinical review timelines.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400"/>
        <w:gridCol w:w="2000"/>
        <w:gridCol w:w="2560"/>
      </w:tblGrid>
      <w:t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Step</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Build</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Est.</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Unblocks</w:t>
            </w:r>
          </w:p>
        </w:tc>
        <w:tc>
          <w:tcPr>
            <w:tcW w:type="dxa" w:w="2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Clinical Rationale</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0</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Simulation environment (8 scenarios as CI tests)</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1 week</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Everything else</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Mandatory before real patient connection. Validates Safety Arbiter, integrator behaviour, and all edge cases against synthetic trajectories.</w:t>
            </w:r>
          </w:p>
        </w:tc>
      </w:tr>
      <w:tr>
        <w:tc>
          <w:tcPr>
            <w:tcW w:type="dxa" w:w="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1a</w:t>
            </w:r>
          </w:p>
        </w:tc>
        <w:tc>
          <w:tcPr>
            <w:tcW w:type="dxa" w:w="28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Port registry (ports.yaml + CI validation)</w:t>
            </w:r>
          </w:p>
        </w:tc>
        <w:tc>
          <w:tcPr>
            <w:tcW w:type="dxa" w:w="1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2 days</w:t>
            </w:r>
          </w:p>
        </w:tc>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All integration testing</w:t>
            </w:r>
          </w:p>
        </w:tc>
        <w:tc>
          <w:tcPr>
            <w:tcW w:type="dxa" w:w="25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Without this, every service integration is discovery-by-failure. Fix KB-19 port in KB-22 and KB-5 port in KB-22 as part of this.</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1b</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KB-20 LAB_RESULT + MEDICATION_CHANGE events</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1 day</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KB-21 OutcomeCorrelation</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OutcomeCorrelation (CONCORDANT/DISCORDANT/BEHAVIORAL_GAP) never fires automatically without this. KB-21's most important clinical output is dark.</w:t>
            </w:r>
          </w:p>
        </w:tc>
      </w:tr>
      <w:tr>
        <w:tc>
          <w:tcPr>
            <w:tcW w:type="dxa" w:w="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2</w:t>
            </w:r>
          </w:p>
        </w:tc>
        <w:tc>
          <w:tcPr>
            <w:tcW w:type="dxa" w:w="28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KB-21 port move to 8133 + G-02 per-class adherence</w:t>
            </w:r>
          </w:p>
        </w:tc>
        <w:tc>
          <w:tcPr>
            <w:tcW w:type="dxa" w:w="1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2 days</w:t>
            </w:r>
          </w:p>
        </w:tc>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V-MCU gain_factor, KB-22 CM</w:t>
            </w:r>
          </w:p>
        </w:tc>
        <w:tc>
          <w:tcPr>
            <w:tcW w:type="dxa" w:w="25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KB-21 currently collides with KB-8 at 8093. Every service calling KB-21 may be hitting the eGFR calculator.</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3</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KB-21 G-01 + KB-23 behavioral-gap-alert wiring verification</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1 day</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BEHAVIORAL_GAP→MCU_GATE path</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KB-21 safety_client.go is already calling the endpoint. KB-23 already has the handler. Verify end-to-end wiring after KB-23 is deployed.</w:t>
            </w:r>
          </w:p>
        </w:tc>
      </w:tr>
      <w:tr>
        <w:tc>
          <w:tcPr>
            <w:tcW w:type="dxa" w:w="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4</w:t>
            </w:r>
          </w:p>
        </w:tc>
        <w:tc>
          <w:tcPr>
            <w:tcW w:type="dxa" w:w="28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V-MCU Channel B missing rules (P1-1 through P1-4)</w:t>
            </w:r>
          </w:p>
        </w:tc>
        <w:tc>
          <w:tcPr>
            <w:tcW w:type="dxa" w:w="1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3 days</w:t>
            </w:r>
          </w:p>
        </w:tc>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Channel B complete</w:t>
            </w:r>
          </w:p>
        </w:tc>
        <w:tc>
          <w:tcPr>
            <w:tcW w:type="dxa" w:w="25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SBP&lt;90, K+&gt;6.0, creatinine delta, weight delta rules are clinical safety gaps — not engineering gaps. Must be complete before pilot.</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5</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V-MCU ±20% autonomy limit + simulation scenarios pass</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2 days</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Legal + clinical pilot</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Pilot cannot begin without confirmed autonomy limits and all 8 simulation scenarios green.</w:t>
            </w:r>
          </w:p>
        </w:tc>
      </w:tr>
      <w:tr>
        <w:tc>
          <w:tcPr>
            <w:tcW w:type="dxa" w:w="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6</w:t>
            </w:r>
          </w:p>
        </w:tc>
        <w:tc>
          <w:tcPr>
            <w:tcW w:type="dxa" w:w="28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KB-22 AG-01 TreatmentPerturbation + AG-02 answer-reliability</w:t>
            </w:r>
          </w:p>
        </w:tc>
        <w:tc>
          <w:tcPr>
            <w:tcW w:type="dxa" w:w="1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1 week</w:t>
            </w:r>
          </w:p>
        </w:tc>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Safe HPI deployment</w:t>
            </w:r>
          </w:p>
        </w:tc>
        <w:tc>
          <w:tcPr>
            <w:tcW w:type="dxa" w:w="25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AG-01: prevents observation bias during active perturbation windows. AG-02: enables answer reliability weighting. Both needed for clinically valid Bayesian inference.</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7</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DEPRESCRIBING_MODE spec + eGFR slope + stale lab rules</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1 week spec</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DEPRESCRIBING_PROPOSAL card</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Specification work first. Then KB-20 eGFR slope, KB-23 new card type, V-MCU ceiling reduction mode. 'Reduce medicines' endpoint is not reachable without this.</w:t>
            </w:r>
          </w:p>
        </w:tc>
      </w:tr>
      <w:tr>
        <w:tc>
          <w:tcPr>
            <w:tcW w:type="dxa" w:w="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8</w:t>
            </w:r>
          </w:p>
        </w:tc>
        <w:tc>
          <w:tcPr>
            <w:tcW w:type="dxa" w:w="28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Tier -1: Patient Channel Adapter</w:t>
            </w:r>
          </w:p>
        </w:tc>
        <w:tc>
          <w:tcPr>
            <w:tcW w:type="dxa" w:w="1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3 weeks</w:t>
            </w:r>
          </w:p>
        </w:tc>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Real adherence data, WhatsApp flow</w:t>
            </w:r>
          </w:p>
        </w:tc>
        <w:tc>
          <w:tcPr>
            <w:tcW w:type="dxa" w:w="25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Largest remaining build. Button-only first, Hindi voice second. All upstream services (KB-20, KB-21, KB-22) work on placeholder data until this is live.</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9</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30-patient shadow-mode pilot</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30 days</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Autonomous mode</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V-MCU proposes, physician approves every output. Autonomous mode only after &gt;90% physician agreement rate.</w:t>
            </w:r>
          </w:p>
        </w:tc>
      </w:tr>
    </w:tbl>
    <w:p>
      <w:pPr>
        <w:spacing w:after="0" w:before="160"/>
      </w:pPr>
    </w:p>
    <w:p>
      <w:pPr>
        <w:pBdr>
          <w:bottom w:val="single" w:color="2E75B6" w:sz="6"/>
        </w:pBdr>
        <w:spacing w:after="160" w:before="160"/>
      </w:pPr>
    </w:p>
    <w:p>
      <w:pPr>
        <w:pStyle w:val="Heading1"/>
        <w:spacing w:after="100" w:before="300"/>
      </w:pPr>
      <w:r>
        <w:rPr>
          <w:rFonts w:ascii="Arial" w:cs="Arial" w:eastAsia="Arial" w:hAnsi="Arial"/>
          <w:b/>
          <w:bCs/>
          <w:i w:val="false"/>
          <w:iCs w:val="false"/>
          <w:color w:val="1F4E79"/>
          <w:sz w:val="34"/>
          <w:szCs w:val="34"/>
        </w:rPr>
        <w:t xml:space="preserve">Part 6 — Success Metrics (Instrument Before Pilot Begins)</w:t>
      </w:r>
    </w:p>
    <w:p>
      <w:pPr>
        <w:spacing w:after="80" w:before="60"/>
      </w:pPr>
      <w:r>
        <w:rPr>
          <w:rFonts w:ascii="Arial" w:cs="Arial" w:eastAsia="Arial" w:hAnsi="Arial"/>
          <w:b w:val="false"/>
          <w:bCs w:val="false"/>
          <w:i w:val="false"/>
          <w:iCs w:val="false"/>
          <w:color w:val="1A1A1A"/>
          <w:sz w:val="20"/>
          <w:szCs w:val="20"/>
        </w:rPr>
        <w:t xml:space="preserve">Define these metrics before the clinical pilot and instrument the system to report them automatically. The 90-day targets are from the March 2026 review — verified against the clinical evidence base for the Indian DM+HTN phenotype.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200"/>
        <w:gridCol w:w="31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Metric</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Target (90d)</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Data Source</w:t>
            </w:r>
          </w:p>
        </w:tc>
        <w:tc>
          <w:tcPr>
            <w:tcW w:type="dxa" w:w="3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Clinical Meaning</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HbA1c reduction (primary)</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0.7–1.0% decrease</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KB-20 LabEntry</w:t>
            </w:r>
          </w:p>
        </w:tc>
        <w:tc>
          <w:tcPr>
            <w:tcW w:type="dxa" w:w="3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The single most important clinical outcome. Protocol review if not achieved.</w:t>
            </w:r>
          </w:p>
        </w:tc>
      </w:tr>
      <w:tr>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Medicines reduced</w:t>
            </w:r>
          </w:p>
        </w:tc>
        <w:tc>
          <w:tcPr>
            <w:tcW w:type="dxa" w:w="1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≥15% of GREEN patients in DEPRESCRIBING_MODE</w:t>
            </w:r>
          </w:p>
        </w:tc>
        <w:tc>
          <w:tcPr>
            <w:tcW w:type="dxa" w:w="2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KB-20 patient mode</w:t>
            </w:r>
          </w:p>
        </w:tc>
        <w:tc>
          <w:tcPr>
            <w:tcW w:type="dxa" w:w="31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Proof the system does more than titrate upward. Validates 'reduce medicines' endpoint.</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Hypoglycaemia events</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&lt;5% of patients/month</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Tier -1 → KB-20</w:t>
            </w:r>
          </w:p>
        </w:tc>
        <w:tc>
          <w:tcPr>
            <w:tcW w:type="dxa" w:w="3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Safety signal. Any rate above 5% requires Safety Arbiter rule review.</w:t>
            </w:r>
          </w:p>
        </w:tc>
      </w:tr>
      <w:tr>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V-MCU HALT rate</w:t>
            </w:r>
          </w:p>
        </w:tc>
        <w:tc>
          <w:tcPr>
            <w:tcW w:type="dxa" w:w="1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&lt;8% of cycles</w:t>
            </w:r>
          </w:p>
        </w:tc>
        <w:tc>
          <w:tcPr>
            <w:tcW w:type="dxa" w:w="2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SafetyTrace</w:t>
            </w:r>
          </w:p>
        </w:tc>
        <w:tc>
          <w:tcPr>
            <w:tcW w:type="dxa" w:w="31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Too high: Channel B over-sensitive. Too low: safety may be under-calibrated. Both warrant investigation.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Physician agreement with V-MCU proposals</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≥90% at 30 days</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KB-23 card actions</w:t>
            </w:r>
          </w:p>
        </w:tc>
        <w:tc>
          <w:tcPr>
            <w:tcW w:type="dxa" w:w="3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Proxy for protocol quality. Below 90% means V-MCU proposals are clinically questionable.</w:t>
            </w:r>
          </w:p>
        </w:tc>
      </w:tr>
      <w:tr>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Patient engagement (session completion)</w:t>
            </w:r>
          </w:p>
        </w:tc>
        <w:tc>
          <w:tcPr>
            <w:tcW w:type="dxa" w:w="1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≥70% weekly check-ins</w:t>
            </w:r>
          </w:p>
        </w:tc>
        <w:tc>
          <w:tcPr>
            <w:tcW w:type="dxa" w:w="2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KB-21 loop_trust_score</w:t>
            </w:r>
          </w:p>
        </w:tc>
        <w:tc>
          <w:tcPr>
            <w:tcW w:type="dxa" w:w="31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System only works if patients engage. Below 70% requires Tier -1 redesign.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eGFR stability (no progression in CKD patients)</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≥85% of CKD patients</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KB-20 eGFR_slope</w:t>
            </w:r>
          </w:p>
        </w:tc>
        <w:tc>
          <w:tcPr>
            <w:tcW w:type="dxa" w:w="3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Renal protection is the most important complication prevention outcome.</w:t>
            </w:r>
          </w:p>
        </w:tc>
      </w:tr>
      <w:tr>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Deterioration arrest (YELLOW→GREEN conversion)</w:t>
            </w:r>
          </w:p>
        </w:tc>
        <w:tc>
          <w:tcPr>
            <w:tcW w:type="dxa" w:w="1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≥40% of YELLOW patients</w:t>
            </w:r>
          </w:p>
        </w:tc>
        <w:tc>
          <w:tcPr>
            <w:tcW w:type="dxa" w:w="2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KB-20 trajectory</w:t>
            </w:r>
          </w:p>
        </w:tc>
        <w:tc>
          <w:tcPr>
            <w:tcW w:type="dxa" w:w="31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Core 'stop deterioration' metric. Below 40% requires escalation protocol review.</w:t>
            </w:r>
          </w:p>
        </w:tc>
      </w:tr>
    </w:tbl>
    <w:p>
      <w:pPr>
        <w:spacing w:after="0" w:before="160"/>
      </w:pPr>
    </w:p>
    <w:p>
      <w:pPr>
        <w:pBdr>
          <w:bottom w:val="single" w:color="2E75B6" w:sz="6"/>
        </w:pBdr>
        <w:spacing w:after="160" w:before="160"/>
      </w:pPr>
    </w:p>
    <w:p>
      <w:pPr>
        <w:pStyle w:val="Heading1"/>
        <w:spacing w:after="100" w:before="300"/>
      </w:pPr>
      <w:r>
        <w:rPr>
          <w:rFonts w:ascii="Arial" w:cs="Arial" w:eastAsia="Arial" w:hAnsi="Arial"/>
          <w:b/>
          <w:bCs/>
          <w:i w:val="false"/>
          <w:iCs w:val="false"/>
          <w:color w:val="1F4E79"/>
          <w:sz w:val="34"/>
          <w:szCs w:val="34"/>
        </w:rPr>
        <w:t xml:space="preserve">Part 7 — Final Architecture Verdict</w:t>
      </w:r>
    </w:p>
    <w:p>
      <w:pPr>
        <w:spacing w:after="80" w:before="60"/>
      </w:pPr>
      <w:r>
        <w:rPr>
          <w:rFonts w:ascii="Arial" w:cs="Arial" w:eastAsia="Arial" w:hAnsi="Arial"/>
          <w:b w:val="false"/>
          <w:bCs w:val="false"/>
          <w:i w:val="false"/>
          <w:iCs w:val="false"/>
          <w:color w:val="1A1A1A"/>
          <w:sz w:val="20"/>
          <w:szCs w:val="20"/>
        </w:rPr>
        <w:t xml:space="preserve">The March 2026 review rated the foundational design philosophy and closed-loop control model at ★★★★★ — both ratings are correct and stand. The implementation completeness rating of ★★☆☆☆ must be revised upward given what has been built since the review was written.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Dimension</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Rating</w:t>
            </w:r>
          </w:p>
        </w:tc>
        <w:tc>
          <w:tcPr>
            <w:tcW w:type="dxa" w:w="4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Summary</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Foundational design philosophy</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w:t>
            </w:r>
          </w:p>
        </w:tc>
        <w:tc>
          <w:tcPr>
            <w:tcW w:type="dxa" w:w="4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Layered separation of longitudinal memory, symptom reasoning, protocol execution, and behavioural intelligence is clinically correct and architecturally rare. Unchanged.</w:t>
            </w:r>
          </w:p>
        </w:tc>
      </w:tr>
      <w:tr>
        <w:tc>
          <w:tcPr>
            <w:tcW w:type="dxa" w:w="3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Closed-loop control model</w:t>
            </w:r>
          </w:p>
        </w:tc>
        <w:tc>
          <w:tcPr>
            <w:tcW w:type="dxa" w:w="1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w:t>
            </w:r>
          </w:p>
        </w:tc>
        <w:tc>
          <w:tcPr>
            <w:tcW w:type="dxa" w:w="49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Gas pedal + brake pedal model with three independent safety channels is the right architecture. Structural guarantee (ComputeDose requires ArbiterOutput parameter) is particularly strong.</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Safety architecture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w:t>
            </w:r>
          </w:p>
        </w:tc>
        <w:tc>
          <w:tcPr>
            <w:tcW w:type="dxa" w:w="4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Three-channel 1oo3 is excellent. Channel B has 4 missing rules (clinical safety gaps). Stale lab handling needs adding. Hysteresis and import constraint enforcement are correct.</w:t>
            </w:r>
          </w:p>
        </w:tc>
      </w:tr>
      <w:tr>
        <w:tc>
          <w:tcPr>
            <w:tcW w:type="dxa" w:w="3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Implementation completeness</w:t>
            </w:r>
          </w:p>
        </w:tc>
        <w:tc>
          <w:tcPr>
            <w:tcW w:type="dxa" w:w="1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w:t>
            </w:r>
          </w:p>
        </w:tc>
        <w:tc>
          <w:tcPr>
            <w:tcW w:type="dxa" w:w="49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KB-23 fully built. V-MCU fully built. KB-22 and KB-21 built with known gaps. Six issues the review flagged as broken are already fixed. Remaining P0 items are port fixes and one event publication — days of work, not weeks.</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Launch readiness</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w:t>
            </w:r>
          </w:p>
        </w:tc>
        <w:tc>
          <w:tcPr>
            <w:tcW w:type="dxa" w:w="4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Achievable in one focused sprint (Steps 0-6 above, approximately 3-4 weeks). The port registry and simulation environment are the two items that gate everything else. Tier -1 is the only large remaining build.</w:t>
            </w:r>
          </w:p>
        </w:tc>
      </w:tr>
      <w:tr>
        <w:tc>
          <w:tcPr>
            <w:tcW w:type="dxa" w:w="3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Clinical realism for India</w:t>
            </w:r>
          </w:p>
        </w:tc>
        <w:tc>
          <w:tcPr>
            <w:tcW w:type="dxa" w:w="1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w:t>
            </w:r>
          </w:p>
        </w:tc>
        <w:tc>
          <w:tcPr>
            <w:tcW w:type="dxa" w:w="49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FDC-aware adherence, Sarvam Hindi ASR/TTS, RSSDI/API guidelines, Indian phenotype visceral fat tracking all correctly modelled. DEPRESCRIBING_MODE is the one missing clinical endpoint — now specified.</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6"/>
              <w:bottom w:val="single" w:color="375623" w:sz="1"/>
              <w:right w:val="single" w:color="375623" w:sz="1"/>
            </w:tcBorders>
            <w:shd w:fill="E2EFDA" w:val="clear"/>
            <w:tcMar>
              <w:top w:type="dxa" w:w="120"/>
              <w:left w:type="dxa" w:w="200"/>
              <w:bottom w:type="dxa" w:w="120"/>
              <w:right w:type="dxa" w:w="160"/>
            </w:tcMar>
          </w:tcPr>
          <w:p>
            <w:pPr>
              <w:spacing w:after="80" w:before="40"/>
            </w:pPr>
            <w:r>
              <w:rPr>
                <w:rFonts w:ascii="Arial" w:cs="Arial" w:eastAsia="Arial" w:hAnsi="Arial"/>
                <w:b/>
                <w:bCs/>
                <w:i w:val="false"/>
                <w:iCs w:val="false"/>
                <w:color w:val="375623"/>
                <w:sz w:val="20"/>
                <w:szCs w:val="20"/>
              </w:rPr>
              <w:t xml:space="preserve">What Must Not Be Changed</w:t>
            </w:r>
          </w:p>
          <w:p>
            <w:pPr>
              <w:spacing w:after="32" w:before="32"/>
            </w:pPr>
            <w:r>
              <w:rPr>
                <w:rFonts w:ascii="Arial" w:cs="Arial" w:eastAsia="Arial" w:hAnsi="Arial"/>
                <w:b w:val="false"/>
                <w:bCs w:val="false"/>
                <w:i w:val="false"/>
                <w:iCs w:val="false"/>
                <w:color w:val="1A1A1A"/>
                <w:sz w:val="19"/>
                <w:szCs w:val="19"/>
              </w:rPr>
              <w:t xml:space="preserve">Three-channel 1oo3 safety architecture with PhysiologySafetyMonitor build-time import constraint enforced by go/parser AST test.</w:t>
            </w:r>
          </w:p>
          <w:p>
            <w:pPr>
              <w:spacing w:after="32" w:before="32"/>
            </w:pPr>
            <w:r>
              <w:rPr>
                <w:rFonts w:ascii="Arial" w:cs="Arial" w:eastAsia="Arial" w:hAnsi="Arial"/>
                <w:b w:val="false"/>
                <w:bCs w:val="false"/>
                <w:i w:val="false"/>
                <w:iCs w:val="false"/>
                <w:color w:val="1A1A1A"/>
                <w:sz w:val="19"/>
                <w:szCs w:val="19"/>
              </w:rPr>
              <w:t xml:space="preserve">V-MCU integrator freeze/resume with rate limiter (50% delta for ceil(pause_hours/24) cycles) and 3-phase re-entry protocol.</w:t>
            </w:r>
          </w:p>
          <w:p>
            <w:pPr>
              <w:spacing w:after="32" w:before="32"/>
            </w:pPr>
            <w:r>
              <w:rPr>
                <w:rFonts w:ascii="Arial" w:cs="Arial" w:eastAsia="Arial" w:hAnsi="Arial"/>
                <w:b w:val="false"/>
                <w:bCs w:val="false"/>
                <w:i w:val="false"/>
                <w:iCs w:val="false"/>
                <w:color w:val="1A1A1A"/>
                <w:sz w:val="19"/>
                <w:szCs w:val="19"/>
              </w:rPr>
              <w:t xml:space="preserve">KB-21 loop trust score and FDC-aware adherence tracking — clinically correct and specific to the Indian FDC prescription pattern.</w:t>
            </w:r>
          </w:p>
          <w:p>
            <w:pPr>
              <w:spacing w:after="32" w:before="32"/>
            </w:pPr>
            <w:r>
              <w:rPr>
                <w:rFonts w:ascii="Arial" w:cs="Arial" w:eastAsia="Arial" w:hAnsi="Arial"/>
                <w:b w:val="false"/>
                <w:bCs w:val="false"/>
                <w:i w:val="false"/>
                <w:iCs w:val="false"/>
                <w:color w:val="1A1A1A"/>
                <w:sz w:val="19"/>
                <w:szCs w:val="19"/>
              </w:rPr>
              <w:t xml:space="preserve">KB-22 log-odds Bayesian engine with per-stratum priors (DM_ONLY / DM_HTN / DM_HTN_CKD) and entropy-maximising question selection.</w:t>
            </w:r>
          </w:p>
          <w:p>
            <w:pPr>
              <w:spacing w:after="32" w:before="32"/>
            </w:pPr>
            <w:r>
              <w:rPr>
                <w:rFonts w:ascii="Arial" w:cs="Arial" w:eastAsia="Arial" w:hAnsi="Arial"/>
                <w:b w:val="false"/>
                <w:bCs w:val="false"/>
                <w:i w:val="false"/>
                <w:iCs w:val="false"/>
                <w:color w:val="1A1A1A"/>
                <w:sz w:val="19"/>
                <w:szCs w:val="19"/>
              </w:rPr>
              <w:t xml:space="preserve">ComputeDose() requiring ArbiterOutput as a compile-time structural parameter — stronger than any runtime assertion.</w:t>
            </w:r>
          </w:p>
          <w:p>
            <w:pPr>
              <w:spacing w:after="32" w:before="32"/>
            </w:pPr>
            <w:r>
              <w:rPr>
                <w:rFonts w:ascii="Arial" w:cs="Arial" w:eastAsia="Arial" w:hAnsi="Arial"/>
                <w:b w:val="false"/>
                <w:bCs w:val="false"/>
                <w:i w:val="false"/>
                <w:iCs w:val="false"/>
                <w:color w:val="1A1A1A"/>
                <w:sz w:val="19"/>
                <w:szCs w:val="19"/>
              </w:rPr>
              <w:t xml:space="preserve">CTL four-panel transparency architecture as schema additions (not a new service) — correct architectural decision.</w:t>
            </w:r>
          </w:p>
          <w:p>
            <w:pPr>
              <w:spacing w:after="32" w:before="32"/>
            </w:pPr>
            <w:r>
              <w:rPr>
                <w:rFonts w:ascii="Arial" w:cs="Arial" w:eastAsia="Arial" w:hAnsi="Arial"/>
                <w:b w:val="false"/>
                <w:bCs w:val="false"/>
                <w:i w:val="false"/>
                <w:iCs w:val="false"/>
                <w:color w:val="1A1A1A"/>
                <w:sz w:val="19"/>
                <w:szCs w:val="19"/>
              </w:rPr>
              <w:t xml:space="preserve">SafetyTrace append-only audit record with 10-year retention and crypto/rand trace IDs.</w:t>
            </w:r>
          </w:p>
          <w:p>
            <w:pPr>
              <w:spacing w:after="32" w:before="32"/>
            </w:pPr>
            <w:r>
              <w:rPr>
                <w:rFonts w:ascii="Arial" w:cs="Arial" w:eastAsia="Arial" w:hAnsi="Arial"/>
                <w:b w:val="false"/>
                <w:bCs w:val="false"/>
                <w:i w:val="false"/>
                <w:iCs w:val="false"/>
                <w:color w:val="1A1A1A"/>
                <w:sz w:val="19"/>
                <w:szCs w:val="19"/>
              </w:rPr>
              <w:t xml:space="preserve">KB-20 as single source of longitudinal truth, consuming v3's existing clinical knowledge without duplication.</w:t>
            </w:r>
          </w:p>
        </w:tc>
      </w:tr>
    </w:tbl>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spacing w:before="80"/>
    </w:pPr>
    <w:r>
      <w:rPr>
        <w:rFonts w:ascii="Arial" w:cs="Arial" w:eastAsia="Arial" w:hAnsi="Arial"/>
        <w:b w:val="false"/>
        <w:bCs w:val="false"/>
        <w:i w:val="false"/>
        <w:iCs w:val="false"/>
        <w:color w:val="999999"/>
        <w:sz w:val="16"/>
        <w:szCs w:val="16"/>
      </w:rPr>
      <w:t xml:space="preserve">CONFIDENTIAL — Vaidshala Internal  ·  Cross-referenced against March 2026 Clinical Review + Full Implementation Status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80" w:before="0"/>
    </w:pPr>
    <w:r>
      <w:rPr>
        <w:rFonts w:ascii="Arial" w:cs="Arial" w:eastAsia="Arial" w:hAnsi="Arial"/>
        <w:b w:val="false"/>
        <w:bCs w:val="false"/>
        <w:i w:val="false"/>
        <w:iCs w:val="false"/>
        <w:color w:val="777777"/>
        <w:sz w:val="17"/>
        <w:szCs w:val="17"/>
      </w:rPr>
      <w:t xml:space="preserve">Vaidshala v3  ·  Final Architecture Proposal  ·  March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F4E79"/>
      <w:sz w:val="34"/>
      <w:szCs w:val="34"/>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C2C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2026-03-06T16:33:41.801Z</dcterms:created>
  <dcterms:modified xsi:type="dcterms:W3CDTF">2026-03-06T16:33:41.802Z</dcterms:modified>
</cp:coreProperties>
</file>

<file path=docProps/custom.xml><?xml version="1.0" encoding="utf-8"?>
<Properties xmlns="http://schemas.openxmlformats.org/officeDocument/2006/custom-properties" xmlns:vt="http://schemas.openxmlformats.org/officeDocument/2006/docPropsVTypes"/>
</file>