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5E8C"/>
          <w:sz w:val="52"/>
          <w:szCs w:val="52"/>
        </w:rPr>
        <w:t xml:space="preserve">VAIDSHALA</w:t>
      </w:r>
    </w:p>
    <w:p>
      <w:pPr>
        <w:spacing w:after="100"/>
        <w:jc w:val="center"/>
      </w:pPr>
      <w:r>
        <w:rPr>
          <w:rFonts w:ascii="Arial" w:cs="Arial" w:eastAsia="Arial" w:hAnsi="Arial"/>
          <w:b/>
          <w:bCs/>
          <w:sz w:val="36"/>
          <w:szCs w:val="36"/>
        </w:rPr>
        <w:t xml:space="preserve">KB-20 Pre-Implementation Final Review</w:t>
      </w:r>
    </w:p>
    <w:p>
      <w:pPr>
        <w:spacing w:after="60"/>
        <w:jc w:val="center"/>
      </w:pPr>
      <w:r>
        <w:rPr>
          <w:rFonts w:ascii="Arial" w:cs="Arial" w:eastAsia="Arial" w:hAnsi="Arial"/>
          <w:color w:val="555555"/>
          <w:sz w:val="26"/>
          <w:szCs w:val="26"/>
        </w:rPr>
        <w:t xml:space="preserve">Cross-Reference Audit  |  Gap Closure Verification  |  Scenario Walkthroughs</w:t>
      </w:r>
    </w:p>
    <w:p>
      <w:pPr>
        <w:spacing w:after="600"/>
        <w:jc w:val="center"/>
      </w:pPr>
      <w:r>
        <w:rPr>
          <w:rFonts w:ascii="Arial" w:cs="Arial" w:eastAsia="Arial" w:hAnsi="Arial"/>
          <w:color w:val="777777"/>
          <w:sz w:val="22"/>
          <w:szCs w:val="22"/>
        </w:rPr>
        <w:t xml:space="preserve">March 2026  |  Review of: Vaidshala_KB20_Deep_Dive_Specification.docx</w:t>
      </w:r>
    </w:p>
    <w:p>
      <w:pPr>
        <w:pBdr>
          <w:bottom w:val="single" w:color="1B5E8C" w:sz="4" w:space="1"/>
        </w:pBdr>
        <w:spacing w:after="200" w:before="200"/>
      </w:pPr>
    </w:p>
    <w:p>
      <w:pPr>
        <w:spacing w:before="200"/>
        <w:jc w:val="center"/>
      </w:pPr>
      <w:r>
        <w:rPr>
          <w:rFonts w:ascii="Arial" w:cs="Arial" w:eastAsia="Arial" w:hAnsi="Arial"/>
          <w:i/>
          <w:iCs/>
          <w:color w:val="555555"/>
          <w:sz w:val="20"/>
          <w:szCs w:val="20"/>
        </w:rPr>
        <w:t xml:space="preserve">Review Outcome: 8 findings identified — 3 RED (must-fix before implementation), 3 AMBER (fix during Week 1–2), 2 GREEN (enhancement, non-blocking)</w:t>
      </w:r>
    </w:p>
    <w:p>
      <w:r>
        <w:br w:type="page"/>
      </w:r>
    </w:p>
    <w:p>
      <w:pPr>
        <w:pStyle w:val="Heading1"/>
        <w:spacing w:after="160" w:before="300"/>
      </w:pPr>
      <w:r>
        <w:t xml:space="preserve">1. Five Corrections Cross-Reference Audit</w:t>
      </w:r>
    </w:p>
    <w:p>
      <w:pPr>
        <w:spacing w:after="120"/>
      </w:pPr>
      <w:r>
        <w:rPr>
          <w:rFonts w:ascii="Arial" w:cs="Arial" w:eastAsia="Arial" w:hAnsi="Arial"/>
          <w:sz w:val="22"/>
          <w:szCs w:val="22"/>
        </w:rPr>
        <w:t xml:space="preserve">Each of the five corrections flagged during the pipeline review is verified against the KB-20 specification for complete resolution.</w:t>
      </w:r>
    </w:p>
    <w:p>
      <w:pPr>
        <w:pBdr>
          <w:bottom w:val="single" w:color="1B5E8C" w:sz="4" w:space="1"/>
        </w:pBdr>
        <w:spacing w:after="200" w:before="200"/>
      </w:pPr>
    </w:p>
    <w:p>
      <w:pPr>
        <w:pStyle w:val="Heading2"/>
        <w:spacing w:after="160" w:before="300"/>
      </w:pPr>
      <w:r>
        <w:t xml:space="preserve">1.1 Correction 1 — KB Naming Collision (KB-18 → KB-20)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14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96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Evidence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Collision identified</w:t>
            </w:r>
          </w:p>
        </w:tc>
        <w:tc>
          <w:tcPr>
            <w:tcW w:type="dxa" w:w="1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RESOLVED</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Spec Section 1 positions KB-20 on port 8131 as Patient Profile &amp; Contextual State Engine. No reference to KB-18 for ADR extraction anywhere in the spec. Synopsis Section 1 confirms KB-18 = Audit Trail.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Documentation risk</w:t>
            </w:r>
          </w:p>
        </w:tc>
        <w:tc>
          <w:tcPr>
            <w:tcW w:type="dxa" w:w="1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color w:val="D4850A"/>
                <w:sz w:val="20"/>
                <w:szCs w:val="20"/>
              </w:rPr>
              <w:t xml:space="preserve">WATCH</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Synopsis warns: 'the team’s documentation may still reference KB-18 for ADR profiles.' During implementation, grep all existing pipeline code for 'KB-18' or 'kb18' and update to KB-20 references. Specifically check run_pipeline_targeted.py output routing and any Dockerfile port mappings.</w:t>
            </w:r>
          </w:p>
        </w:tc>
      </w:tr>
    </w:tbl>
    <w:p>
      <w:pPr>
        <w:spacing w:after="120"/>
      </w:pPr>
      <w:r>
        <w:rPr>
          <w:rFonts w:ascii="Arial" w:cs="Arial" w:eastAsia="Arial" w:hAnsi="Arial"/>
          <w:sz w:val="22"/>
          <w:szCs w:val="22"/>
        </w:rPr>
        <w:t xml:space="preserve"/>
      </w:r>
    </w:p>
    <w:p>
      <w:pPr>
        <w:pStyle w:val="Heading2"/>
        <w:spacing w:after="160" w:before="300"/>
      </w:pPr>
      <w:r>
        <w:t xml:space="preserve">1.2 Correction 2 — SPL Bridge Architecture (Separate ETL, Not Channel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14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96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Evidence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Architectural separation</w:t>
            </w:r>
          </w:p>
        </w:tc>
        <w:tc>
          <w:tcPr>
            <w:tcW w:type="dxa" w:w="1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RESOLVED</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Spec Section 12.2 defines SPLGuard → KB-20 as a separate ETL path with its own 6-step flow. Explicitly states 'does not go through Channel D.' Section 12.3 defines the merge strategy for dual-path records.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L3 template schema alignment</w:t>
            </w:r>
          </w:p>
        </w:tc>
        <w:tc>
          <w:tcPr>
            <w:tcW w:type="dxa" w:w="1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RESOLVED</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Both paths produce records conforming to {drug_class, symptom, mechanism, onset_window, context_modifier_rule, source, confidence}. Spec Section 8.1 (AdverseReactionProfile schema) is the unified target.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Indian-market drug gap</w:t>
            </w:r>
          </w:p>
        </w:tc>
        <w:tc>
          <w:tcPr>
            <w:tcW w:type="dxa" w:w="14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NEW FINDING — see F-01</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SPLGuard extracts from FDA SPL. Indian-market drugs without US approval (teneligliptin, saroglitazar, remogliflozin) have NO SPL. Spec Section 12.3 states 'pipeline record is authoritative' for these, but the pipeline has no specific ADA or RSSDI extraction rules for India-specific agents yet. This is a coverage gap.</w:t>
            </w:r>
          </w:p>
        </w:tc>
      </w:tr>
    </w:tbl>
    <w:p>
      <w:pPr>
        <w:spacing w:after="120"/>
      </w:pPr>
      <w:r>
        <w:rPr>
          <w:rFonts w:ascii="Arial" w:cs="Arial" w:eastAsia="Arial" w:hAnsi="Arial"/>
          <w:sz w:val="22"/>
          <w:szCs w:val="22"/>
        </w:rPr>
        <w:t xml:space="preserve"/>
      </w:r>
    </w:p>
    <w:p>
      <w:pPr>
        <w:pStyle w:val="Heading2"/>
        <w:spacing w:after="160" w:before="300"/>
      </w:pPr>
      <w:r>
        <w:t xml:space="preserve">1.3 Correction 3 — Completeness Grade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14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96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Evidence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Auto-computation logic</w:t>
            </w:r>
          </w:p>
        </w:tc>
        <w:tc>
          <w:tcPr>
            <w:tcW w:type="dxa" w:w="1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RESOLVED</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Spec Section 9.2 defines deterministic computation: FULL (all fields + confidence ≥0.70), PARTIAL (core fields, missing mechanism/onset), STUB (minimal). Matches synopsis requirement.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Downstream consumption rules</w:t>
            </w:r>
          </w:p>
        </w:tc>
        <w:tc>
          <w:tcPr>
            <w:tcW w:type="dxa" w:w="1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SPECIFIED</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9.1: FULL at HIGH_CONF (full magnitude), PARTIAL at CALIBRATE (0.7x magnitude), STUB ignored. Section 7.3 step 2 enforces this in CM activation runtime.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KB-22 enforcement verification</w:t>
            </w:r>
          </w:p>
        </w:tc>
        <w:tc>
          <w:tcPr>
            <w:tcW w:type="dxa" w:w="1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color w:val="D4850A"/>
                <w:sz w:val="20"/>
                <w:szCs w:val="20"/>
              </w:rPr>
              <w:t xml:space="preserve">AMBER — see F-02</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Spec defines the contract but KB-22 implementation has NOT been verified to enforce PARTIAL at 0.7x and ignore STUB. This is a cross-KB integration test that must happen in Phase 0 Week 2.</w:t>
            </w:r>
          </w:p>
        </w:tc>
      </w:tr>
    </w:tbl>
    <w:p>
      <w:pPr>
        <w:spacing w:after="120"/>
      </w:pPr>
      <w:r>
        <w:rPr>
          <w:rFonts w:ascii="Arial" w:cs="Arial" w:eastAsia="Arial" w:hAnsi="Arial"/>
          <w:sz w:val="22"/>
          <w:szCs w:val="22"/>
        </w:rPr>
        <w:t xml:space="preserve"/>
      </w:r>
    </w:p>
    <w:p>
      <w:pPr>
        <w:pStyle w:val="Heading2"/>
        <w:spacing w:after="160" w:before="300"/>
      </w:pPr>
      <w:r>
        <w:t xml:space="preserve">1.4 Correction 4 — RIE Cross-System Threshold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14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96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Evidence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eGFR threshold alignment</w:t>
            </w:r>
          </w:p>
        </w:tc>
        <w:tc>
          <w:tcPr>
            <w:tcW w:type="dxa" w:w="14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PARTIALLY RESOLVED — see F-03</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Spec Section 3.5 defines CKD staging: G3a = 45–59 (metformin cap 1500mg), G3b = 30–44 (reduce to 500–1000mg), G4 = 15–29 (discontinue). BUT the stratum activation threshold (Section 6) is eGFR &lt; 60 as a single boundary. RIE Check 4 requires validating that the stratum boundary (60) is consistent with the KB-1 dosing boundaries (45, 30). The spec does not define what happens when a patient crosses from 46 to 44 (crosses G3a→G3b within the same CKD stratum) — this is a medication alert without a stratum change. Must be explicitly handled.</w:t>
            </w:r>
          </w:p>
        </w:tc>
      </w:tr>
    </w:tbl>
    <w:p>
      <w:pPr>
        <w:spacing w:after="120"/>
      </w:pPr>
      <w:r>
        <w:rPr>
          <w:rFonts w:ascii="Arial" w:cs="Arial" w:eastAsia="Arial" w:hAnsi="Arial"/>
          <w:sz w:val="22"/>
          <w:szCs w:val="22"/>
        </w:rPr>
        <w:t xml:space="preserve"/>
      </w:r>
    </w:p>
    <w:p>
      <w:pPr>
        <w:pStyle w:val="Heading2"/>
        <w:spacing w:after="160" w:before="300"/>
      </w:pPr>
      <w:r>
        <w:t xml:space="preserve">1.5 Correction 5 — Phase 2 Integration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14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96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Evidence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KB-20 pipeline write testing</w:t>
            </w:r>
          </w:p>
        </w:tc>
        <w:tc>
          <w:tcPr>
            <w:tcW w:type="dxa" w:w="1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color w:val="D4850A"/>
                <w:sz w:val="20"/>
                <w:szCs w:val="20"/>
              </w:rPr>
              <w:t xml:space="preserve">NOT YET TESTABLE</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 batch write endpoints (Section 11.2: /api/v1/pipeline/modifiers and /api/v1/pipeline/adr-profiles) need full pipeline run on all 3 KDIGO sources and diffing output. This cannot happen until pipeline import issues are fixed. Add to Phase 0 acceptance criteria: 'KB-20 batch write endpoints accept at least 1 full pipeline run output without error.'</w:t>
            </w:r>
          </w:p>
        </w:tc>
      </w:tr>
    </w:tbl>
    <w:p>
      <w:pPr>
        <w:spacing w:after="120"/>
      </w:pPr>
      <w:r>
        <w:rPr>
          <w:rFonts w:ascii="Arial" w:cs="Arial" w:eastAsia="Arial" w:hAnsi="Arial"/>
          <w:sz w:val="22"/>
          <w:szCs w:val="22"/>
        </w:rPr>
        <w:t xml:space="preserve"/>
      </w:r>
    </w:p>
    <w:p>
      <w:r>
        <w:br w:type="page"/>
      </w:r>
    </w:p>
    <w:p>
      <w:pPr>
        <w:pStyle w:val="Heading1"/>
        <w:spacing w:after="160" w:before="300"/>
      </w:pPr>
      <w:r>
        <w:t xml:space="preserve">2. Gap Register Audit: KB-20 Coverage of 27 Identified Gaps</w:t>
      </w:r>
    </w:p>
    <w:p>
      <w:pPr>
        <w:spacing w:after="120"/>
      </w:pPr>
      <w:r>
        <w:rPr>
          <w:rFonts w:ascii="Arial" w:cs="Arial" w:eastAsia="Arial" w:hAnsi="Arial"/>
          <w:sz w:val="22"/>
          <w:szCs w:val="22"/>
        </w:rPr>
        <w:t xml:space="preserve">The HPI Gap Analysis identified 27 gaps across 5 categories. This audit checks which gaps are resolved or addressed by the KB-20 specification, which remain open, and which require additional specification.</w:t>
      </w:r>
    </w:p>
    <w:p>
      <w:pPr>
        <w:pBdr>
          <w:bottom w:val="single" w:color="1B5E8C" w:sz="4" w:space="1"/>
        </w:pBdr>
        <w:spacing w:after="200" w:before="200"/>
      </w:pPr>
    </w:p>
    <w:p>
      <w:pPr>
        <w:pStyle w:val="Heading2"/>
        <w:spacing w:after="160" w:before="300"/>
      </w:pPr>
      <w:r>
        <w:t xml:space="preserve">2.1 Category A — Architectural Patterns (6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c>
          <w:tcPr>
            <w:tcW w:type="dxa" w:w="6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Gap</w:t>
            </w:r>
          </w:p>
        </w:tc>
        <w:tc>
          <w:tcPr>
            <w:tcW w:type="dxa" w:w="26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416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KB-20 Spec Coverage</w:t>
            </w:r>
          </w:p>
        </w:tc>
        <w:tc>
          <w:tcPr>
            <w:tcW w:type="dxa" w:w="20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A01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Stratum Decision Tree not codified</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6.1 formalises the decision rule (changes question VALUE = stratum; changes only PRIOR = modifier). Section 15.1 provides YAML schema for stratum rules with evaluation_order.</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RESOLVED by KB-20 spec</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A02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Parameterised Strata YAML Schema not formalised</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15.1 provides the canonical stratum_rules.yaml schema with conditions, evaluation_order, and examples for P2.</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RESOLVED by KB-20 spec</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A03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Safety Floor Specification Pattern inconsistent P1 vs P2</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6.2 response schema includes safety_overrides field. However, the safety floor VALUES themselves are node-specific (owned by KB-22, not KB-20). KB-20’s role is to provide state inputs that KB-22 uses to select floor values. This is correctly scoped.</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OUT OF SCOPE (KB-22 owns)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A04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Question Re-Ranking by Stratum not in KB-22 engine</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KB-22 scope, not KB-20. KB-20’s contract is to return stratum_label; KB-22 uses it to select question ordering. Correctly out of scope.</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OUT OF SCOPE (KB-22 owns)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A05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Confidence Threshold Calibration per Node</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7.3 step 2 defines confidence consumption rules (HIGH_CONF ≥0.85, CALIBRATE 0.70–0.84, below 0.70 ignored). These thresholds are global, not per-node. Per-node calibration would need KB-22 override capability.</w:t>
            </w:r>
          </w:p>
        </w:tc>
        <w:tc>
          <w:tcPr>
            <w:tcW w:type="dxa" w:w="2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color w:val="D4850A"/>
                <w:sz w:val="20"/>
                <w:szCs w:val="20"/>
              </w:rPr>
              <w:t xml:space="preserve">PARTIALLY COVERED — see F-04</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A06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Pertinent Negative Reliability Modifiers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 addressed in KB-20 spec. Pertinent negatives are question-interpretation logic (KB-22 scope). KB-20 might need to store the reliability modifier VALUES if they vary by patient state (e.g., pertinent negative reliability is lower in cognitively impaired patients). Not currently blocking.</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NOT IN SCOPE (future)</w:t>
            </w:r>
          </w:p>
        </w:tc>
      </w:tr>
    </w:tbl>
    <w:p>
      <w:pPr>
        <w:spacing w:after="120"/>
      </w:pPr>
      <w:r>
        <w:rPr>
          <w:rFonts w:ascii="Arial" w:cs="Arial" w:eastAsia="Arial" w:hAnsi="Arial"/>
          <w:sz w:val="22"/>
          <w:szCs w:val="22"/>
        </w:rPr>
        <w:t xml:space="preserve"/>
      </w:r>
    </w:p>
    <w:p>
      <w:pPr>
        <w:pStyle w:val="Heading2"/>
        <w:spacing w:after="160" w:before="300"/>
      </w:pPr>
      <w:r>
        <w:t xml:space="preserve">2.2 Category B — Cross-Node Infrastructure (5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c>
          <w:tcPr>
            <w:tcW w:type="dxa" w:w="6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Gap</w:t>
            </w:r>
          </w:p>
        </w:tc>
        <w:tc>
          <w:tcPr>
            <w:tcW w:type="dxa" w:w="26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416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KB-20 Spec Coverage</w:t>
            </w:r>
          </w:p>
        </w:tc>
        <w:tc>
          <w:tcPr>
            <w:tcW w:type="dxa" w:w="20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B01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Shared CM Registry doesn’t exist</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7 defines the full CM registry with 5 modifier types, unified schema, activation rules, and YAML format (Section 15.2). Section 11.1 endpoint /api/v1/modifiers/registry/{node_id} serves it. B01 is DIRECTLY RESOLVED by this spec.</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RESOLVED by KB-20 spec</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B02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Cross-Node Safety Protocol Engine not built</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11.3 defines event bus integration (SAFETY_ALERT events). KB-19 consumes these. KB-20’s role is detection and notification, not protocol execution. Correctly scoped.</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KB-20 PORTION RESOLVED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B03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Medication List Integration never tested end-to-end</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4 fully specifies MedicationState schema, drug class enum, API endpoints. Implementation priority P0 (Week 1). This is the most critical single gap — KB-20 spec resolves the DESIGN; end-to-end TESTING remains.</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DESIGN RESOLVED; TESTING PENDING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B04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Stratum Activation from KB-20 not implemented</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6 is the complete stratum activation specification. Section 11.1 defines the API endpoint. Section 15.1 provides the YAML. Implementation priority P0 (Week 1–2). This gap is FULLY ADDRESSED by design.</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DESIGN RESOLVED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B05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Node Transition Protocol undefined</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11.3 STRATUM_CHANGE event defines what KB-20 publishes when a transition occurs. The transition PROTOCOL (how KB-22 handles mid-session stratum changes) is KB-19/KB-22 scope.</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KB-20 PORTION RESOLVED</w:t>
            </w:r>
          </w:p>
        </w:tc>
      </w:tr>
    </w:tbl>
    <w:p>
      <w:pPr>
        <w:spacing w:after="120"/>
      </w:pPr>
      <w:r>
        <w:rPr>
          <w:rFonts w:ascii="Arial" w:cs="Arial" w:eastAsia="Arial" w:hAnsi="Arial"/>
          <w:sz w:val="22"/>
          <w:szCs w:val="22"/>
        </w:rPr>
        <w:t xml:space="preserve"/>
      </w:r>
    </w:p>
    <w:p>
      <w:pPr>
        <w:pStyle w:val="Heading2"/>
        <w:spacing w:after="160" w:before="300"/>
      </w:pPr>
      <w:r>
        <w:t xml:space="preserve">2.3 Category D — Pipeline Dependencies (6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c>
          <w:tcPr>
            <w:tcW w:type="dxa" w:w="6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Gap</w:t>
            </w:r>
          </w:p>
        </w:tc>
        <w:tc>
          <w:tcPr>
            <w:tcW w:type="dxa" w:w="26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416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KB-20 Spec Coverage</w:t>
            </w:r>
          </w:p>
        </w:tc>
        <w:tc>
          <w:tcPr>
            <w:tcW w:type="dxa" w:w="20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D01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KB-20 ADR Profiles with four-element chain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8 fully specifies AdverseReactionProfile schema with all four elements. Section 8.2 provides concrete examples for 6 drug classes. Implementation priority P2 (Week 3–4).</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FULLY RESOLVED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D02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ADA Standards of Care extraction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Indirectly addressed: Section 12.1 defines pipeline ingestion path. GuidelineProfile for ADA (Phase 2) is a pipeline concern, not KB-20’s. KB-20 is source-agnostic — it accepts any source string.</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KB-20 READY; PIPELINE PENDING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D03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RSSDI 2024 extraction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Same as D02. KB-20 accepts RSSDI source records. Pipeline needs RSSDI GuidelineProfile.</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KB-20 READY; PIPELINE PENDING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D04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RIE cross-system validation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Partially addressed. See Correction 4 audit (Section 1.4 of this review) and Finding F-03.</w:t>
            </w:r>
          </w:p>
        </w:tc>
        <w:tc>
          <w:tcPr>
            <w:tcW w:type="dxa" w:w="2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color w:val="D4850A"/>
                <w:sz w:val="20"/>
                <w:szCs w:val="20"/>
              </w:rPr>
              <w:t xml:space="preserve">PARTIALLY RESOLVED — F-03</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D05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SPL-to-KB-20 ETL path</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12.2 defines the SPLGuard → KB-20 path. But see Finding F-01 (Indian-market drug gap).</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DESIGN RESOLVED; GAP F-01</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D06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KB-20 completeness_grade field</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9 fully specifies the grading system with auto-computation logic, definitions, and downstream treatment rules.</w:t>
            </w:r>
          </w:p>
        </w:tc>
        <w:tc>
          <w:tcPr>
            <w:tcW w:type="dxa" w:w="2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FULLY RESOLVED</w:t>
            </w:r>
          </w:p>
        </w:tc>
      </w:tr>
    </w:tbl>
    <w:p>
      <w:pPr>
        <w:spacing w:after="120"/>
      </w:pPr>
      <w:r>
        <w:rPr>
          <w:rFonts w:ascii="Arial" w:cs="Arial" w:eastAsia="Arial" w:hAnsi="Arial"/>
          <w:sz w:val="22"/>
          <w:szCs w:val="22"/>
        </w:rPr>
        <w:t xml:space="preserve"/>
      </w:r>
    </w:p>
    <w:p>
      <w:r>
        <w:br w:type="page"/>
      </w:r>
    </w:p>
    <w:p>
      <w:pPr>
        <w:pStyle w:val="Heading1"/>
        <w:spacing w:after="160" w:before="300"/>
      </w:pPr>
      <w:r>
        <w:t xml:space="preserve">3. Findings Register</w:t>
      </w:r>
    </w:p>
    <w:p>
      <w:pPr>
        <w:spacing w:after="120"/>
      </w:pPr>
      <w:r>
        <w:rPr>
          <w:rFonts w:ascii="Arial" w:cs="Arial" w:eastAsia="Arial" w:hAnsi="Arial"/>
          <w:sz w:val="22"/>
          <w:szCs w:val="22"/>
        </w:rPr>
        <w:t xml:space="preserve">Eight findings identified during review. Three are RED (must-fix before implementation begins), three are AMBER (fix during implementation Weeks 1–2), two are GREEN (enhancements, non-blocking).</w:t>
      </w:r>
    </w:p>
    <w:p>
      <w:pPr>
        <w:pBdr>
          <w:bottom w:val="single" w:color="1B5E8C" w:sz="4" w:space="1"/>
        </w:pBdr>
        <w:spacing w:after="200" w:before="200"/>
      </w:pPr>
    </w:p>
    <w:p>
      <w:pPr>
        <w:pStyle w:val="Heading2"/>
        <w:spacing w:after="160" w:before="300"/>
      </w:pPr>
      <w:r>
        <w:t xml:space="preserve">F-01 [RED] — Indian-Market Drug Coverage Gap</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KB-20 spec defines dual ingestion paths (guideline pipeline + SPLGuard). SPLGuard extracts from FDA SPL, which covers US-approved drugs. However, several drugs widely prescribed for DM+HTN in India have no US FDA approval and therefore no SPL data:</w:t>
      </w:r>
    </w:p>
    <w:p>
      <w:pPr>
        <w:pStyle w:val="ListParagraph"/>
        <w:numPr>
          <w:ilvl w:val="0"/>
          <w:numId w:val="2"/>
        </w:numPr>
        <w:spacing w:after="60"/>
      </w:pPr>
      <w:r>
        <w:rPr>
          <w:rFonts w:ascii="Arial" w:cs="Arial" w:eastAsia="Arial" w:hAnsi="Arial"/>
          <w:b/>
          <w:bCs/>
          <w:sz w:val="22"/>
          <w:szCs w:val="22"/>
        </w:rPr>
        <w:t xml:space="preserve">Teneligliptin</w:t>
      </w:r>
      <w:r>
        <w:rPr>
          <w:rFonts w:ascii="Arial" w:cs="Arial" w:eastAsia="Arial" w:hAnsi="Arial"/>
          <w:sz w:val="22"/>
          <w:szCs w:val="22"/>
        </w:rPr>
        <w:t xml:space="preserve"> (DPP4i) — widely prescribed in India, approved by DCGI but NOT FDA. No SPL exists. Estimated 15–20% of Indian DPP4i prescriptions.</w:t>
      </w:r>
    </w:p>
    <w:p>
      <w:pPr>
        <w:pStyle w:val="ListParagraph"/>
        <w:numPr>
          <w:ilvl w:val="0"/>
          <w:numId w:val="2"/>
        </w:numPr>
        <w:spacing w:after="60"/>
      </w:pPr>
      <w:r>
        <w:rPr>
          <w:rFonts w:ascii="Arial" w:cs="Arial" w:eastAsia="Arial" w:hAnsi="Arial"/>
          <w:b/>
          <w:bCs/>
          <w:sz w:val="22"/>
          <w:szCs w:val="22"/>
        </w:rPr>
        <w:t xml:space="preserve">Saroglitazar</w:t>
      </w:r>
      <w:r>
        <w:rPr>
          <w:rFonts w:ascii="Arial" w:cs="Arial" w:eastAsia="Arial" w:hAnsi="Arial"/>
          <w:sz w:val="22"/>
          <w:szCs w:val="22"/>
        </w:rPr>
        <w:t xml:space="preserve"> (dual PPARα/γ agonist) — approved in India for diabetic dyslipidemia. First-in-class globally. No SPL.</w:t>
      </w:r>
    </w:p>
    <w:p>
      <w:pPr>
        <w:pStyle w:val="ListParagraph"/>
        <w:numPr>
          <w:ilvl w:val="0"/>
          <w:numId w:val="2"/>
        </w:numPr>
        <w:spacing w:after="60"/>
      </w:pPr>
      <w:r>
        <w:rPr>
          <w:rFonts w:ascii="Arial" w:cs="Arial" w:eastAsia="Arial" w:hAnsi="Arial"/>
          <w:b/>
          <w:bCs/>
          <w:sz w:val="22"/>
          <w:szCs w:val="22"/>
        </w:rPr>
        <w:t xml:space="preserve">Remogliflozin</w:t>
      </w:r>
      <w:r>
        <w:rPr>
          <w:rFonts w:ascii="Arial" w:cs="Arial" w:eastAsia="Arial" w:hAnsi="Arial"/>
          <w:sz w:val="22"/>
          <w:szCs w:val="22"/>
        </w:rPr>
        <w:t xml:space="preserve"> (SGLT2i) — approved in India, not FDA-approved. Used as lower-cost SGLT2i alternative.</w:t>
      </w:r>
    </w:p>
    <w:p>
      <w:pPr>
        <w:pStyle w:val="ListParagraph"/>
        <w:numPr>
          <w:ilvl w:val="0"/>
          <w:numId w:val="2"/>
        </w:numPr>
        <w:spacing w:after="60"/>
      </w:pPr>
      <w:r>
        <w:rPr>
          <w:rFonts w:ascii="Arial" w:cs="Arial" w:eastAsia="Arial" w:hAnsi="Arial"/>
          <w:b/>
          <w:bCs/>
          <w:sz w:val="22"/>
          <w:szCs w:val="22"/>
        </w:rPr>
        <w:t xml:space="preserve">Fixed-dose combinations (FDCs)</w:t>
      </w:r>
      <w:r>
        <w:rPr>
          <w:rFonts w:ascii="Arial" w:cs="Arial" w:eastAsia="Arial" w:hAnsi="Arial"/>
          <w:sz w:val="22"/>
          <w:szCs w:val="22"/>
        </w:rPr>
        <w:t xml:space="preserve"> — India has hundreds of DCGI-approved FDCs (e.g., metformin+teneligliptin, glimepiride+metformin+voglibose) that have no SPL equivalent. FDCs are the DOMINANT prescribing pattern in Indian DM care — an estimated 60–70% of prescriptions are FDCs.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If KB-20 relies on SPLGuard for FULL-grade ADR profiles, these India-specific drugs will only have PARTIAL or STUB records from the guideline pipeline. This means their CMs will be activated at reduced magnitude (0.7x) or ignored entirely. For a platform serving Indian patients, this is a significant clinical gap.</w:t>
      </w:r>
    </w:p>
    <w:p>
      <w:pPr>
        <w:spacing w:after="120"/>
      </w:pPr>
      <w:r>
        <w:rPr>
          <w:rFonts w:ascii="Arial" w:cs="Arial" w:eastAsia="Arial" w:hAnsi="Arial"/>
          <w:b/>
          <w:bCs/>
          <w:sz w:val="22"/>
          <w:szCs w:val="22"/>
        </w:rPr>
        <w:t xml:space="preserve">Required fix: </w:t>
      </w:r>
      <w:r>
        <w:rPr>
          <w:rFonts w:ascii="Arial" w:cs="Arial" w:eastAsia="Arial" w:hAnsi="Arial"/>
          <w:sz w:val="22"/>
          <w:szCs w:val="22"/>
        </w:rPr>
        <w:t xml:space="preserve">Add a third ingestion path: DCGI/CDSCO-sourced ADR data. The Central Drugs Standard Control Organisation (CDSCO) publishes Drug Master Files and periodic safety reports, but not in structured SPL format. Options: (a) Manual curation by Vaidshala clinical team for the 15–20 India-specific agents in the DM+HTN formulary — most pragmatic for Circle 1. (b) RSSDI Clinical Practice Recommendations extraction via pipeline Phase 2 (RSSDI GuidelineProfile) which covers these agents. (c) NME (New Molecular Entity) review extraction from DCGI approval packages (complex, Circle 2+).</w:t>
      </w:r>
    </w:p>
    <w:p>
      <w:pPr>
        <w:spacing w:after="120"/>
      </w:pPr>
      <w:r>
        <w:rPr>
          <w:rFonts w:ascii="Arial" w:cs="Arial" w:eastAsia="Arial" w:hAnsi="Arial"/>
          <w:b/>
          <w:bCs/>
          <w:sz w:val="22"/>
          <w:szCs w:val="22"/>
        </w:rPr>
        <w:t xml:space="preserve">Recommended action: </w:t>
      </w:r>
      <w:r>
        <w:rPr>
          <w:rFonts w:ascii="Arial" w:cs="Arial" w:eastAsia="Arial" w:hAnsi="Arial"/>
          <w:sz w:val="22"/>
          <w:szCs w:val="22"/>
        </w:rPr>
        <w:t xml:space="preserve">For Circle 1 implementation, add a MANUAL_CURATED source type alongside PIPELINE and SPL. Create 15–20 hand-curated AdverseReactionProfile records for Indian-specific agents with FULL completeness grade, clinician-reviewed. These become the authoritative records until RSSDI pipeline extraction is operational. Add the drug_class enum values: TENELIGLIPTIN (under DPP4I subclass), SAROGLITAZAR (new class DUAL_PPAR), REMOGLIFLOZIN (under SGLT2I subclass).</w:t>
      </w:r>
    </w:p>
    <w:p>
      <w:pPr>
        <w:spacing w:after="120"/>
      </w:pPr>
      <w:r>
        <w:rPr>
          <w:rFonts w:ascii="Arial" w:cs="Arial" w:eastAsia="Arial" w:hAnsi="Arial"/>
          <w:b/>
          <w:bCs/>
          <w:sz w:val="22"/>
          <w:szCs w:val="22"/>
        </w:rPr>
        <w:t xml:space="preserve">Schema impact: </w:t>
      </w:r>
      <w:r>
        <w:rPr>
          <w:rFonts w:ascii="Arial" w:cs="Arial" w:eastAsia="Arial" w:hAnsi="Arial"/>
          <w:sz w:val="22"/>
          <w:szCs w:val="22"/>
        </w:rPr>
        <w:t xml:space="preserve">Add to MedicationState: fdc_components: Array&lt;drug_id&gt; | null. When a patient is prescribed an FDC, KB-20 stores BOTH the FDC as a single medication entry AND decomposes it into component drug_class entries for CM activation. Example: metformin 500mg + teneligliptin 20mg FDC → stored as one MedicationState record with fdc_components = [METFORMIN, TENELIGLIPTIN], and CM activation logic evaluates BOTH drug classes.</w:t>
      </w:r>
    </w:p>
    <w:p>
      <w:pPr>
        <w:pBdr>
          <w:bottom w:val="single" w:color="1B5E8C" w:sz="4" w:space="1"/>
        </w:pBdr>
        <w:spacing w:after="200" w:before="200"/>
      </w:pPr>
    </w:p>
    <w:p>
      <w:pPr>
        <w:pStyle w:val="Heading2"/>
        <w:spacing w:after="160" w:before="300"/>
      </w:pPr>
      <w:r>
        <w:t xml:space="preserve">F-02 [AMBER] — KB-22 Completeness Grade Enforcement Not Verified</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KB-20 spec defines that PARTIAL records should be consumed at 0.7x effect_magnitude and STUB records ignored. But KB-22 (HPI Engine) is the consumer that must enforce this. KB-22’s current implementation has not been verified against these rules.</w:t>
      </w:r>
    </w:p>
    <w:p>
      <w:pPr>
        <w:spacing w:after="120"/>
      </w:pPr>
      <w:r>
        <w:rPr>
          <w:rFonts w:ascii="Arial" w:cs="Arial" w:eastAsia="Arial" w:hAnsi="Arial"/>
          <w:b/>
          <w:bCs/>
          <w:sz w:val="22"/>
          <w:szCs w:val="22"/>
        </w:rPr>
        <w:t xml:space="preserve">Required action: </w:t>
      </w:r>
      <w:r>
        <w:rPr>
          <w:rFonts w:ascii="Arial" w:cs="Arial" w:eastAsia="Arial" w:hAnsi="Arial"/>
          <w:sz w:val="22"/>
          <w:szCs w:val="22"/>
        </w:rPr>
        <w:t xml:space="preserve">Add to Phase 0 Week 2 acceptance criteria: 'KB-22 integration test confirms: (1) FULL CM at full magnitude changes posterior by expected amount, (2) PARTIAL CM at 0.7x magnitude produces proportionally reduced posterior shift, (3) STUB CM produces zero posterior change.' Use P1 Chest Pain CM05 (SGLT2i DKA) as test case — create FULL, PARTIAL, and STUB versions and verify posterior for euglycemic DKA differential across all three grades.</w:t>
      </w:r>
    </w:p>
    <w:p>
      <w:pPr>
        <w:pBdr>
          <w:bottom w:val="single" w:color="1B5E8C" w:sz="4" w:space="1"/>
        </w:pBdr>
        <w:spacing w:after="200" w:before="200"/>
      </w:pPr>
    </w:p>
    <w:p>
      <w:pPr>
        <w:pStyle w:val="Heading2"/>
        <w:spacing w:after="160" w:before="300"/>
      </w:pPr>
      <w:r>
        <w:t xml:space="preserve">F-03 [RED] — Intra-Stratum Medication Alert Boundary Not Specified</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CKD stratum activates at eGFR &lt; 60 (single boundary). But within the CKD stratum, there are three medication-critical sub-boundaries: eGFR 45 (metformin dose cap), eGFR 30 (metformin reduction / SGLT2i efficacy note), eGFR 15 (metformin discontinue / kidney failure protocols). The spec defines CKD staging (Section 3.5) and medication alerts per stage, but does NOT define how KB-20 handles a patient crossing from G3a (eGFR 46) to G3b (eGFR 44) without a stratum change.</w:t>
      </w:r>
    </w:p>
    <w:p>
      <w:pPr>
        <w:spacing w:after="120"/>
      </w:pPr>
      <w:r>
        <w:rPr>
          <w:rFonts w:ascii="Arial" w:cs="Arial" w:eastAsia="Arial" w:hAnsi="Arial"/>
          <w:b/>
          <w:bCs/>
          <w:sz w:val="22"/>
          <w:szCs w:val="22"/>
        </w:rPr>
        <w:t xml:space="preserve">The gap: </w:t>
      </w:r>
      <w:r>
        <w:rPr>
          <w:rFonts w:ascii="Arial" w:cs="Arial" w:eastAsia="Arial" w:hAnsi="Arial"/>
          <w:sz w:val="22"/>
          <w:szCs w:val="22"/>
        </w:rPr>
        <w:t xml:space="preserve">Stratum stays CKD throughout. No STRATUM_CHANGE event fires. But a MEDICATION_ALERT must fire because the metformin dosing threshold has been crossed. The spec’s event bus (Section 11.3) defines STRATUM_CHANGE and SAFETY_ALERT but does not define a CKD_SUBSTAGE_CHANGE event or MEDICATION_THRESHOLD_CROSSED event.</w:t>
      </w:r>
    </w:p>
    <w:p>
      <w:pPr>
        <w:spacing w:after="120"/>
      </w:pPr>
      <w:r>
        <w:rPr>
          <w:rFonts w:ascii="Arial" w:cs="Arial" w:eastAsia="Arial" w:hAnsi="Arial"/>
          <w:b/>
          <w:bCs/>
          <w:sz w:val="22"/>
          <w:szCs w:val="22"/>
        </w:rPr>
        <w:t xml:space="preserve">Required fix: </w:t>
      </w:r>
      <w:r>
        <w:rPr>
          <w:rFonts w:ascii="Arial" w:cs="Arial" w:eastAsia="Arial" w:hAnsi="Arial"/>
          <w:sz w:val="22"/>
          <w:szCs w:val="22"/>
        </w:rPr>
        <w:t xml:space="preserve">Add a new event type to Section 11.3: MEDICATION_THRESHOLD_CROSSED. This fires whenever eGFR crosses ANY medication-relevant boundary (60, 45, 30, 15), regardless of stratum change. Payload: patient_id, lab (eGFR), old_value, new_value, threshold_crossed, affected_medications (array of drug_class + required_action). KB-1 consumes this event to generate dosing adjustment Decision Cards. Separately, add ckd_substage to the stratum activation response (Section 6.2) so KB-22 has visibility into G3a vs G3b even when the stratum label remains 'DM_HTN_CKD'.</w:t>
      </w:r>
    </w:p>
    <w:p>
      <w:pPr>
        <w:pBdr>
          <w:bottom w:val="single" w:color="1B5E8C" w:sz="4" w:space="1"/>
        </w:pBdr>
        <w:spacing w:after="200" w:before="200"/>
      </w:pPr>
    </w:p>
    <w:p>
      <w:pPr>
        <w:pStyle w:val="Heading2"/>
        <w:spacing w:after="160" w:before="300"/>
      </w:pPr>
      <w:r>
        <w:t xml:space="preserve">F-04 [AMBER] — Confidence Thresholds Are Global, Not Per-Node</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Section 7.3 defines confidence consumption thresholds globally: HIGH_CONF ≥ 0.85, CALIBRATE 0.70–0.84, below 0.70 ignored. Gap A05 in the register requires per-node calibration. Different nodes have different tolerance for uncertainty — P1 (Chest Pain) should be more conservative (ACS is life-threatening; don’t want to miss a modifier) while P7 (GI Disturbance) can tolerate more uncertainty (lower acuity).</w:t>
      </w:r>
    </w:p>
    <w:p>
      <w:pPr>
        <w:spacing w:after="120"/>
      </w:pPr>
      <w:r>
        <w:rPr>
          <w:rFonts w:ascii="Arial" w:cs="Arial" w:eastAsia="Arial" w:hAnsi="Arial"/>
          <w:b/>
          <w:bCs/>
          <w:sz w:val="22"/>
          <w:szCs w:val="22"/>
        </w:rPr>
        <w:t xml:space="preserve">Required fix: </w:t>
      </w:r>
      <w:r>
        <w:rPr>
          <w:rFonts w:ascii="Arial" w:cs="Arial" w:eastAsia="Arial" w:hAnsi="Arial"/>
          <w:sz w:val="22"/>
          <w:szCs w:val="22"/>
        </w:rPr>
        <w:t xml:space="preserve">Add an optional node_confidence_overrides field to stratum_rules.yaml (Section 15.1). If a node specifies overrides, those thresholds replace the global defaults during CM activation evaluation for that node. Default behaviour (no overrides) uses the global thresholds. This is backward-compatible and non-blocking for initial implementation — implement global thresholds in Week 1, add per-node override support in Week 3–4 before P4/P5 build begins.</w:t>
      </w:r>
    </w:p>
    <w:p>
      <w:pPr>
        <w:pBdr>
          <w:bottom w:val="single" w:color="1B5E8C" w:sz="4" w:space="1"/>
        </w:pBdr>
        <w:spacing w:after="200" w:before="200"/>
      </w:pPr>
    </w:p>
    <w:p>
      <w:pPr>
        <w:pStyle w:val="Heading2"/>
        <w:spacing w:after="160" w:before="300"/>
      </w:pPr>
      <w:r>
        <w:t xml:space="preserve">F-05 [RED] — Lab Value Input Validation Not Specified</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spec defines lab schemas and computation pipelines but does not define INPUT VALIDATION. What happens when a WhatsApp check-in produces a creatinine value of 50 mg/dL (clearly erroneous — patient would be dead) or a systolic BP of 30 mmHg (sensor error) or an HbA1c of 2.0% (transcription error)? Without validation, erroneous inputs trigger cascading state changes: a creatinine of 50 computes eGFR of ~1, which triggers CKD G5, which fires STRATUM_CHANGE + SAFETY_ALERT + MEDICATION_THRESHOLD_CROSSED for every medication. The system would send a RED alert to the physician based on garbage data.</w:t>
      </w:r>
    </w:p>
    <w:p>
      <w:pPr>
        <w:spacing w:after="120"/>
      </w:pPr>
      <w:r>
        <w:rPr>
          <w:rFonts w:ascii="Arial" w:cs="Arial" w:eastAsia="Arial" w:hAnsi="Arial"/>
          <w:b/>
          <w:bCs/>
          <w:sz w:val="22"/>
          <w:szCs w:val="22"/>
        </w:rPr>
        <w:t xml:space="preserve">Required fix: </w:t>
      </w:r>
      <w:r>
        <w:rPr>
          <w:rFonts w:ascii="Arial" w:cs="Arial" w:eastAsia="Arial" w:hAnsi="Arial"/>
          <w:sz w:val="22"/>
          <w:szCs w:val="22"/>
        </w:rPr>
        <w:t xml:space="preserve">Add a lab_validation_rules section to the KB-20 spec. Define physiological plausibility ranges for each tracked lab value:</w:t>
      </w:r>
    </w:p>
    <w:p>
      <w:pPr>
        <w:pStyle w:val="ListParagraph"/>
        <w:numPr>
          <w:ilvl w:val="0"/>
          <w:numId w:val="2"/>
        </w:numPr>
        <w:spacing w:after="60"/>
      </w:pPr>
      <w:r>
        <w:rPr>
          <w:rFonts w:ascii="Arial" w:cs="Arial" w:eastAsia="Arial" w:hAnsi="Arial"/>
          <w:sz w:val="22"/>
          <w:szCs w:val="22"/>
        </w:rPr>
        <w:t xml:space="preserve">Serum creatinine: 0.2–20.0 mg/dL (values outside this are rejected with IMPLAUSIBLE_VALUE error)</w:t>
      </w:r>
    </w:p>
    <w:p>
      <w:pPr>
        <w:pStyle w:val="ListParagraph"/>
        <w:numPr>
          <w:ilvl w:val="0"/>
          <w:numId w:val="2"/>
        </w:numPr>
        <w:spacing w:after="60"/>
      </w:pPr>
      <w:r>
        <w:rPr>
          <w:rFonts w:ascii="Arial" w:cs="Arial" w:eastAsia="Arial" w:hAnsi="Arial"/>
          <w:sz w:val="22"/>
          <w:szCs w:val="22"/>
        </w:rPr>
        <w:t xml:space="preserve">eGFR (derived): 0–200 mL/min/1.73m² (computation-validated, but flag if &gt; 150 as likely error in creatinine input)</w:t>
      </w:r>
    </w:p>
    <w:p>
      <w:pPr>
        <w:pStyle w:val="ListParagraph"/>
        <w:numPr>
          <w:ilvl w:val="0"/>
          <w:numId w:val="2"/>
        </w:numPr>
        <w:spacing w:after="60"/>
      </w:pPr>
      <w:r>
        <w:rPr>
          <w:rFonts w:ascii="Arial" w:cs="Arial" w:eastAsia="Arial" w:hAnsi="Arial"/>
          <w:sz w:val="22"/>
          <w:szCs w:val="22"/>
        </w:rPr>
        <w:t xml:space="preserve">FBG: 30–600 mg/dL (below 30 = likely dead; above 600 = DKA crisis, accept but flag CRITICAL)</w:t>
      </w:r>
    </w:p>
    <w:p>
      <w:pPr>
        <w:pStyle w:val="ListParagraph"/>
        <w:numPr>
          <w:ilvl w:val="0"/>
          <w:numId w:val="2"/>
        </w:numPr>
        <w:spacing w:after="60"/>
      </w:pPr>
      <w:r>
        <w:rPr>
          <w:rFonts w:ascii="Arial" w:cs="Arial" w:eastAsia="Arial" w:hAnsi="Arial"/>
          <w:sz w:val="22"/>
          <w:szCs w:val="22"/>
        </w:rPr>
        <w:t xml:space="preserve">HbA1c: 3.0–18.0% (below 3.0 = erroneous; above 18.0 = erroneous)</w:t>
      </w:r>
    </w:p>
    <w:p>
      <w:pPr>
        <w:pStyle w:val="ListParagraph"/>
        <w:numPr>
          <w:ilvl w:val="0"/>
          <w:numId w:val="2"/>
        </w:numPr>
        <w:spacing w:after="60"/>
      </w:pPr>
      <w:r>
        <w:rPr>
          <w:rFonts w:ascii="Arial" w:cs="Arial" w:eastAsia="Arial" w:hAnsi="Arial"/>
          <w:sz w:val="22"/>
          <w:szCs w:val="22"/>
        </w:rPr>
        <w:t xml:space="preserve">Systolic BP: 60–280 mmHg; Diastolic BP: 30–180 mmHg (systolic must be &gt; diastolic)</w:t>
      </w:r>
    </w:p>
    <w:p>
      <w:pPr>
        <w:pStyle w:val="ListParagraph"/>
        <w:numPr>
          <w:ilvl w:val="0"/>
          <w:numId w:val="2"/>
        </w:numPr>
        <w:spacing w:after="60"/>
      </w:pPr>
      <w:r>
        <w:rPr>
          <w:rFonts w:ascii="Arial" w:cs="Arial" w:eastAsia="Arial" w:hAnsi="Arial"/>
          <w:sz w:val="22"/>
          <w:szCs w:val="22"/>
        </w:rPr>
        <w:t xml:space="preserve">Potassium: 1.5–9.0 mEq/L (outside this range = likely lab error or extreme emergency)</w:t>
      </w:r>
    </w:p>
    <w:p>
      <w:pPr>
        <w:spacing w:after="120"/>
      </w:pPr>
      <w:r>
        <w:rPr>
          <w:rFonts w:ascii="Arial" w:cs="Arial" w:eastAsia="Arial" w:hAnsi="Arial"/>
          <w:b/>
          <w:bCs/>
          <w:sz w:val="22"/>
          <w:szCs w:val="22"/>
        </w:rPr>
        <w:t xml:space="preserve">Behaviour: </w:t>
      </w:r>
      <w:r>
        <w:rPr>
          <w:rFonts w:ascii="Arial" w:cs="Arial" w:eastAsia="Arial" w:hAnsi="Arial"/>
          <w:sz w:val="22"/>
          <w:szCs w:val="22"/>
        </w:rPr>
        <w:t xml:space="preserve">Values outside plausibility range are REJECTED (not stored, error returned to intake layer). Values at physiological extremes (within range but clinically alarming) are ACCEPTED + FLAGGED with severity tag. No state recomputation occurs for rejected values. Flagged values trigger state recomputation but Decision Card includes a data quality warning.</w:t>
      </w:r>
    </w:p>
    <w:p>
      <w:pPr>
        <w:pBdr>
          <w:bottom w:val="single" w:color="1B5E8C" w:sz="4" w:space="1"/>
        </w:pBdr>
        <w:spacing w:after="200" w:before="200"/>
      </w:pPr>
    </w:p>
    <w:p>
      <w:pPr>
        <w:pStyle w:val="Heading2"/>
        <w:spacing w:after="160" w:before="300"/>
      </w:pPr>
      <w:r>
        <w:t xml:space="preserve">F-06 [AMBER] — V-MCU (Insulin Closed-Loop) Integration Not Specified</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synopsis identifies V-MCU (Vaidshala Medication Correction Unit, specifically the insulin closed-loop) as a core architectural component. KB-20 stores MedicationState including insulin (drug_class: INSULIN). But the spec does not define how V-MCU interacts with KB-20. V-MCU needs: current insulin dose, weight_kg (for units/kg computation), FBG time-series (for dose titration), HbA1c trajectory (for control assessment), and eGFR (insulin clearance changes in CKD). V-MCU also WRITES to KB-20: updated insulin dose after each titration cycle.</w:t>
      </w:r>
    </w:p>
    <w:p>
      <w:pPr>
        <w:spacing w:after="120"/>
      </w:pPr>
      <w:r>
        <w:rPr>
          <w:rFonts w:ascii="Arial" w:cs="Arial" w:eastAsia="Arial" w:hAnsi="Arial"/>
          <w:b/>
          <w:bCs/>
          <w:sz w:val="22"/>
          <w:szCs w:val="22"/>
        </w:rPr>
        <w:t xml:space="preserve">Required fix: </w:t>
      </w:r>
      <w:r>
        <w:rPr>
          <w:rFonts w:ascii="Arial" w:cs="Arial" w:eastAsia="Arial" w:hAnsi="Arial"/>
          <w:sz w:val="22"/>
          <w:szCs w:val="22"/>
        </w:rPr>
        <w:t xml:space="preserve">Add a V-MCU integration subsection to the API contract (Section 11). V-MCU should consume the existing /api/v1/patient/{id}/profile endpoint for read access (it returns all needed fields). For writes, V-MCU should use the existing PUT /api/v1/patient/{id}/medications endpoint with prescribed_by = ‘vaidshala_physician’ and a titration_event_id linking to the V-MCU decision audit trail. No new endpoints needed — just document the integration contract and add insulin_units_per_kg as a derived field in PatientProfile (computed from dose_mg / weight_kg).</w:t>
      </w:r>
    </w:p>
    <w:p>
      <w:pPr>
        <w:pBdr>
          <w:bottom w:val="single" w:color="1B5E8C" w:sz="4" w:space="1"/>
        </w:pBdr>
        <w:spacing w:after="200" w:before="200"/>
      </w:pPr>
    </w:p>
    <w:p>
      <w:pPr>
        <w:pStyle w:val="Heading2"/>
        <w:spacing w:after="160" w:before="300"/>
      </w:pPr>
      <w:r>
        <w:t xml:space="preserve">F-07 [GREEN] — KB-18 Audit Trail Integration Not Specified</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KB-18 is the Audit Trail &amp; Compliance service. Every KB-20 state mutation (lab entry, medication change, stratum activation, CM activation) should produce an audit record. The spec defines event bus integration with KB-19 but does not mention KB-18.</w:t>
      </w:r>
    </w:p>
    <w:p>
      <w:pPr>
        <w:spacing w:after="120"/>
      </w:pPr>
      <w:r>
        <w:rPr>
          <w:rFonts w:ascii="Arial" w:cs="Arial" w:eastAsia="Arial" w:hAnsi="Arial"/>
          <w:b/>
          <w:bCs/>
          <w:sz w:val="22"/>
          <w:szCs w:val="22"/>
        </w:rPr>
        <w:t xml:space="preserve">Recommended fix: </w:t>
      </w:r>
      <w:r>
        <w:rPr>
          <w:rFonts w:ascii="Arial" w:cs="Arial" w:eastAsia="Arial" w:hAnsi="Arial"/>
          <w:sz w:val="22"/>
          <w:szCs w:val="22"/>
        </w:rPr>
        <w:t xml:space="preserve">Add KB-18 as an event bus consumer. Every event published to KB-19 should also be consumed by KB-18 for immutable audit logging. Additionally, KB-20 write endpoints should publish WRITE_AUDIT events for all POST/PUT/DELETE operations with: timestamp, patient_id, entity_type, old_value, new_value, source, actor. This is non-blocking for clinical functionality but required before any production deployment for regulatory compliance (Indian Clinical Establishments Act, upcoming DPDPA implications for health data).</w:t>
      </w:r>
    </w:p>
    <w:p>
      <w:pPr>
        <w:pBdr>
          <w:bottom w:val="single" w:color="1B5E8C" w:sz="4" w:space="1"/>
        </w:pBdr>
        <w:spacing w:after="200" w:before="200"/>
      </w:pPr>
    </w:p>
    <w:p>
      <w:pPr>
        <w:pStyle w:val="Heading2"/>
        <w:spacing w:after="160" w:before="300"/>
      </w:pPr>
      <w:r>
        <w:t xml:space="preserve">F-08 [GREEN] — P0 Dizziness Backward Compatibility</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P0 (Dizziness) was built before KB-20 was formalised. Its Table 7 (Drug-Dizziness ADR Map) and CM01–CM08 definitions may use different field names or structures than the KB-20 spec. If P0 is currently querying patient state via a different mechanism (hardcoded, or direct DB query, or a different KB), it needs to be migrated to KB-20 API calls.</w:t>
      </w:r>
    </w:p>
    <w:p>
      <w:pPr>
        <w:spacing w:after="120"/>
      </w:pPr>
      <w:r>
        <w:rPr>
          <w:rFonts w:ascii="Arial" w:cs="Arial" w:eastAsia="Arial" w:hAnsi="Arial"/>
          <w:b/>
          <w:bCs/>
          <w:sz w:val="22"/>
          <w:szCs w:val="22"/>
        </w:rPr>
        <w:t xml:space="preserve">Recommended fix: </w:t>
      </w:r>
      <w:r>
        <w:rPr>
          <w:rFonts w:ascii="Arial" w:cs="Arial" w:eastAsia="Arial" w:hAnsi="Arial"/>
          <w:sz w:val="22"/>
          <w:szCs w:val="22"/>
        </w:rPr>
        <w:t xml:space="preserve">During Phase 0 infrastructure sprint, audit P0’s current patient state access patterns. If P0 uses any non-KB-20 path for medication list, lab values, or CM activation, create a migration ticket to refactor P0 to use KB-20 API. This is non-blocking for P3–P7 build but required for architectural consistency. Estimate: 1–2 days of refactoring if P0 is already well-structured.</w:t>
      </w:r>
    </w:p>
    <w:p>
      <w:r>
        <w:br w:type="page"/>
      </w:r>
    </w:p>
    <w:p>
      <w:pPr>
        <w:pStyle w:val="Heading1"/>
        <w:spacing w:after="160" w:before="300"/>
      </w:pPr>
      <w:r>
        <w:t xml:space="preserve">4. Implementation Scenario Walkthroughs</w:t>
      </w:r>
    </w:p>
    <w:p>
      <w:pPr>
        <w:spacing w:after="120"/>
      </w:pPr>
      <w:r>
        <w:rPr>
          <w:rFonts w:ascii="Arial" w:cs="Arial" w:eastAsia="Arial" w:hAnsi="Arial"/>
          <w:sz w:val="22"/>
          <w:szCs w:val="22"/>
        </w:rPr>
        <w:t xml:space="preserve">These six scenarios exercise the critical paths through KB-20. Each scenario is designed to test a different subsystem and catch integration failures early. They should be implemented as integration tests during Phase 0.</w:t>
      </w:r>
    </w:p>
    <w:p>
      <w:pPr>
        <w:pBdr>
          <w:bottom w:val="single" w:color="1B5E8C" w:sz="4" w:space="1"/>
        </w:pBdr>
        <w:spacing w:after="200" w:before="200"/>
      </w:pPr>
    </w:p>
    <w:p>
      <w:pPr>
        <w:pStyle w:val="Heading2"/>
        <w:spacing w:after="160" w:before="300"/>
      </w:pPr>
      <w:r>
        <w:t xml:space="preserve">Scenario 1: New Patient Intake → Full State Initialisation</w:t>
      </w:r>
    </w:p>
    <w:p>
      <w:pPr>
        <w:spacing w:after="120"/>
      </w:pPr>
      <w:r>
        <w:rPr>
          <w:rFonts w:ascii="Arial" w:cs="Arial" w:eastAsia="Arial" w:hAnsi="Arial"/>
          <w:b/>
          <w:bCs/>
          <w:sz w:val="22"/>
          <w:szCs w:val="22"/>
        </w:rPr>
        <w:t xml:space="preserve">Setup: </w:t>
      </w:r>
      <w:r>
        <w:rPr>
          <w:rFonts w:ascii="Arial" w:cs="Arial" w:eastAsia="Arial" w:hAnsi="Arial"/>
          <w:sz w:val="22"/>
          <w:szCs w:val="22"/>
        </w:rPr>
        <w:t xml:space="preserve">55-year-old female, T2DM (8 years), HTN Stage 2. On metformin 1000mg BD, amlodipine 5mg OD, telmisartan 40mg OD. Latest labs: creatinine 1.1 mg/dL, FBG 145 mg/dL, HbA1c 7.8%, SBP 148/92, total cholesterol 220 mg/dL.</w:t>
      </w:r>
    </w:p>
    <w:p>
      <w:pPr>
        <w:spacing w:after="120"/>
      </w:pPr>
      <w:r>
        <w:rPr>
          <w:rFonts w:ascii="Arial" w:cs="Arial" w:eastAsia="Arial" w:hAnsi="Arial"/>
          <w:b/>
          <w:bCs/>
          <w:sz w:val="22"/>
          <w:szCs w:val="22"/>
        </w:rPr>
        <w:t xml:space="preserve">Expected KB-20 state after intake:</w:t>
      </w:r>
    </w:p>
    <w:p>
      <w:pPr>
        <w:pStyle w:val="ListParagraph"/>
        <w:numPr>
          <w:ilvl w:val="0"/>
          <w:numId w:val="3"/>
        </w:numPr>
        <w:spacing w:after="60"/>
      </w:pPr>
      <w:r>
        <w:rPr>
          <w:rFonts w:ascii="Arial" w:cs="Arial" w:eastAsia="Arial" w:hAnsi="Arial"/>
          <w:sz w:val="22"/>
          <w:szCs w:val="22"/>
        </w:rPr>
        <w:t xml:space="preserve">PatientProfile created: age=55, sex=F, dm_type=T2DM, dm_duration=8.0 years, bmi computed from weight/height.</w:t>
      </w:r>
    </w:p>
    <w:p>
      <w:pPr>
        <w:pStyle w:val="ListParagraph"/>
        <w:numPr>
          <w:ilvl w:val="0"/>
          <w:numId w:val="3"/>
        </w:numPr>
        <w:spacing w:after="60"/>
      </w:pPr>
      <w:r>
        <w:rPr>
          <w:rFonts w:ascii="Arial" w:cs="Arial" w:eastAsia="Arial" w:hAnsi="Arial"/>
          <w:sz w:val="22"/>
          <w:szCs w:val="22"/>
        </w:rPr>
        <w:t xml:space="preserve">LabTracker: 7 entries created (creatinine, FBG, HbA1c, SBP, DBP, total_cholesterol, eGFR derived).</w:t>
      </w:r>
    </w:p>
    <w:p>
      <w:pPr>
        <w:pStyle w:val="ListParagraph"/>
        <w:numPr>
          <w:ilvl w:val="0"/>
          <w:numId w:val="3"/>
        </w:numPr>
        <w:spacing w:after="60"/>
      </w:pPr>
      <w:r>
        <w:rPr>
          <w:rFonts w:ascii="Arial" w:cs="Arial" w:eastAsia="Arial" w:hAnsi="Arial"/>
          <w:sz w:val="22"/>
          <w:szCs w:val="22"/>
        </w:rPr>
        <w:t xml:space="preserve">eGFR computed via CKD-EPI 2021: with Scr=1.1, age=55, female → eGFR ≈ 55 mL/min/1.73m².</w:t>
      </w:r>
    </w:p>
    <w:p>
      <w:pPr>
        <w:pStyle w:val="ListParagraph"/>
        <w:numPr>
          <w:ilvl w:val="0"/>
          <w:numId w:val="3"/>
        </w:numPr>
        <w:spacing w:after="60"/>
      </w:pPr>
      <w:r>
        <w:rPr>
          <w:rFonts w:ascii="Arial" w:cs="Arial" w:eastAsia="Arial" w:hAnsi="Arial"/>
          <w:sz w:val="22"/>
          <w:szCs w:val="22"/>
        </w:rPr>
        <w:t xml:space="preserve">CKD staging: eGFR 55 = G3a. BUT only one measurement — auto-derivation of CKD requires TWO measurements ≥90 days apart per KDIGO. So: ckd_status = SUSPECTED (not yet confirmed). Stratum activation uses point estimate: CKD stratum PROVISIONALLY ACTIVE.</w:t>
      </w:r>
    </w:p>
    <w:p>
      <w:pPr>
        <w:pStyle w:val="ListParagraph"/>
        <w:numPr>
          <w:ilvl w:val="0"/>
          <w:numId w:val="3"/>
        </w:numPr>
        <w:spacing w:after="60"/>
      </w:pPr>
      <w:r>
        <w:rPr>
          <w:rFonts w:ascii="Arial" w:cs="Arial" w:eastAsia="Arial" w:hAnsi="Arial"/>
          <w:sz w:val="22"/>
          <w:szCs w:val="22"/>
        </w:rPr>
        <w:t xml:space="preserve">3 MedicationState records created (METFORMIN active, CCB active, ARB active).</w:t>
      </w:r>
    </w:p>
    <w:p>
      <w:pPr>
        <w:pStyle w:val="ListParagraph"/>
        <w:numPr>
          <w:ilvl w:val="0"/>
          <w:numId w:val="3"/>
        </w:numPr>
        <w:spacing w:after="60"/>
      </w:pPr>
      <w:r>
        <w:rPr>
          <w:rFonts w:ascii="Arial" w:cs="Arial" w:eastAsia="Arial" w:hAnsi="Arial"/>
          <w:sz w:val="22"/>
          <w:szCs w:val="22"/>
        </w:rPr>
        <w:t xml:space="preserve">Auto-derived comorbidities: Uncontrolled DM (HbA1c 7.8 &gt; 7.0 = mildly uncontrolled), Uncontrolled HTN (SBP 148 &gt; 140 = Stage 1), Dyslipidemia (total cholesterol 220 &gt; 200).</w:t>
      </w:r>
    </w:p>
    <w:p>
      <w:pPr>
        <w:pStyle w:val="ListParagraph"/>
        <w:numPr>
          <w:ilvl w:val="0"/>
          <w:numId w:val="3"/>
        </w:numPr>
        <w:spacing w:after="60"/>
      </w:pPr>
      <w:r>
        <w:rPr>
          <w:rFonts w:ascii="Arial" w:cs="Arial" w:eastAsia="Arial" w:hAnsi="Arial"/>
          <w:sz w:val="22"/>
          <w:szCs w:val="22"/>
        </w:rPr>
        <w:t xml:space="preserve">CV risk (WHO/ISH SEA-D): female, age 50–59, DM+, smoker=no, SBP 140–159, cholesterol 5–6 mmol/L → 10–20% = MODERATE.</w:t>
      </w:r>
    </w:p>
    <w:p>
      <w:pPr>
        <w:pStyle w:val="ListParagraph"/>
        <w:numPr>
          <w:ilvl w:val="0"/>
          <w:numId w:val="3"/>
        </w:numPr>
        <w:spacing w:after="60"/>
      </w:pPr>
      <w:r>
        <w:rPr>
          <w:rFonts w:ascii="Arial" w:cs="Arial" w:eastAsia="Arial" w:hAnsi="Arial"/>
          <w:sz w:val="22"/>
          <w:szCs w:val="22"/>
        </w:rPr>
        <w:t xml:space="preserve">Medication alerts: Metformin 1000mg BD = 2000mg/day. G3a threshold = 1500mg cap. ALERT: metformin dose exceeds G3a maximum. This should fire MEDICATION_THRESHOLD_CROSSED (Finding F-03 fix needed) or at minimum be included in safety_overrides on stratum query.</w:t>
      </w:r>
    </w:p>
    <w:p>
      <w:pPr>
        <w:spacing w:after="120"/>
      </w:pPr>
      <w:r>
        <w:rPr>
          <w:rFonts w:ascii="Arial" w:cs="Arial" w:eastAsia="Arial" w:hAnsi="Arial"/>
          <w:b/>
          <w:bCs/>
          <w:sz w:val="22"/>
          <w:szCs w:val="22"/>
        </w:rPr>
        <w:t xml:space="preserve">Verification: </w:t>
      </w:r>
      <w:r>
        <w:rPr>
          <w:rFonts w:ascii="Arial" w:cs="Arial" w:eastAsia="Arial" w:hAnsi="Arial"/>
          <w:sz w:val="22"/>
          <w:szCs w:val="22"/>
        </w:rPr>
        <w:t xml:space="preserve">Stratum query for P2 returns DM_HTN_CKD (provisional). Active CMs include: CM03 (eGFR/CKD), CM_MET_GI (metformin active), CM_CCB_OEDEMA (amlodipine active), CM_ARB_HYPERK (telmisartan + CKD G3a). Safety overrides include metformin dose alert.</w:t>
      </w:r>
    </w:p>
    <w:p>
      <w:pPr>
        <w:pBdr>
          <w:bottom w:val="single" w:color="1B5E8C" w:sz="4" w:space="1"/>
        </w:pBdr>
        <w:spacing w:after="200" w:before="200"/>
      </w:pPr>
    </w:p>
    <w:p>
      <w:pPr>
        <w:pStyle w:val="Heading2"/>
        <w:spacing w:after="160" w:before="300"/>
      </w:pPr>
      <w:r>
        <w:t xml:space="preserve">Scenario 2: Lab Update Triggers Stratum Change Mid-Session</w:t>
      </w:r>
    </w:p>
    <w:p>
      <w:pPr>
        <w:spacing w:after="120"/>
      </w:pPr>
      <w:r>
        <w:rPr>
          <w:rFonts w:ascii="Arial" w:cs="Arial" w:eastAsia="Arial" w:hAnsi="Arial"/>
          <w:b/>
          <w:bCs/>
          <w:sz w:val="22"/>
          <w:szCs w:val="22"/>
        </w:rPr>
        <w:t xml:space="preserve">Setup: </w:t>
      </w:r>
      <w:r>
        <w:rPr>
          <w:rFonts w:ascii="Arial" w:cs="Arial" w:eastAsia="Arial" w:hAnsi="Arial"/>
          <w:sz w:val="22"/>
          <w:szCs w:val="22"/>
        </w:rPr>
        <w:t xml:space="preserve">Patient from Scenario 1, 4 months later. New creatinine: 1.4 mg/dL. Previous creatinine was 1.1 mg/dL. Patient is currently in an active P2 (Dyspnea) HPI session.</w:t>
      </w:r>
    </w:p>
    <w:p>
      <w:pPr>
        <w:spacing w:after="120"/>
      </w:pPr>
      <w:r>
        <w:rPr>
          <w:rFonts w:ascii="Arial" w:cs="Arial" w:eastAsia="Arial" w:hAnsi="Arial"/>
          <w:b/>
          <w:bCs/>
          <w:sz w:val="22"/>
          <w:szCs w:val="22"/>
        </w:rPr>
        <w:t xml:space="preserve">Expected KB-20 cascade:</w:t>
      </w:r>
    </w:p>
    <w:p>
      <w:pPr>
        <w:pStyle w:val="ListParagraph"/>
        <w:numPr>
          <w:ilvl w:val="0"/>
          <w:numId w:val="4"/>
        </w:numPr>
        <w:spacing w:after="60"/>
      </w:pPr>
      <w:r>
        <w:rPr>
          <w:rFonts w:ascii="Arial" w:cs="Arial" w:eastAsia="Arial" w:hAnsi="Arial"/>
          <w:sz w:val="22"/>
          <w:szCs w:val="22"/>
        </w:rPr>
        <w:t xml:space="preserve">Lab entry accepted (creatinine 1.4 within plausibility range 0.2–20.0).</w:t>
      </w:r>
    </w:p>
    <w:p>
      <w:pPr>
        <w:pStyle w:val="ListParagraph"/>
        <w:numPr>
          <w:ilvl w:val="0"/>
          <w:numId w:val="4"/>
        </w:numPr>
        <w:spacing w:after="60"/>
      </w:pPr>
      <w:r>
        <w:rPr>
          <w:rFonts w:ascii="Arial" w:cs="Arial" w:eastAsia="Arial" w:hAnsi="Arial"/>
          <w:sz w:val="22"/>
          <w:szCs w:val="22"/>
        </w:rPr>
        <w:t xml:space="preserve">eGFR recomputed: Scr=1.4, age=55, female → eGFR ≈ 40 mL/min/1.73m².</w:t>
      </w:r>
    </w:p>
    <w:p>
      <w:pPr>
        <w:pStyle w:val="ListParagraph"/>
        <w:numPr>
          <w:ilvl w:val="0"/>
          <w:numId w:val="4"/>
        </w:numPr>
        <w:spacing w:after="60"/>
      </w:pPr>
      <w:r>
        <w:rPr>
          <w:rFonts w:ascii="Arial" w:cs="Arial" w:eastAsia="Arial" w:hAnsi="Arial"/>
          <w:sz w:val="22"/>
          <w:szCs w:val="22"/>
        </w:rPr>
        <w:t xml:space="preserve">CKD staging update: G3a (55) → G3b (40). Two measurements now span &gt; 90 days → CKD auto-derivation confirmed (not just suspected).</w:t>
      </w:r>
    </w:p>
    <w:p>
      <w:pPr>
        <w:pStyle w:val="ListParagraph"/>
        <w:numPr>
          <w:ilvl w:val="0"/>
          <w:numId w:val="4"/>
        </w:numPr>
        <w:spacing w:after="60"/>
      </w:pPr>
      <w:r>
        <w:rPr>
          <w:rFonts w:ascii="Arial" w:cs="Arial" w:eastAsia="Arial" w:hAnsi="Arial"/>
          <w:sz w:val="22"/>
          <w:szCs w:val="22"/>
        </w:rPr>
        <w:t xml:space="preserve">eGFR trajectory: two points only (insufficient for OLS regression). Classification = INSUFFICIENT_DATA. But delta = -15 over 4 months = annualised -45 mL/min/yr which would be RAPID_DECLINE if confirmed. Flag for accelerated monitoring.</w:t>
      </w:r>
    </w:p>
    <w:p>
      <w:pPr>
        <w:pStyle w:val="ListParagraph"/>
        <w:numPr>
          <w:ilvl w:val="0"/>
          <w:numId w:val="4"/>
        </w:numPr>
        <w:spacing w:after="60"/>
      </w:pPr>
      <w:r>
        <w:rPr>
          <w:rFonts w:ascii="Arial" w:cs="Arial" w:eastAsia="Arial" w:hAnsi="Arial"/>
          <w:sz w:val="22"/>
          <w:szCs w:val="22"/>
        </w:rPr>
        <w:t xml:space="preserve">STRATUM_CHANGE event: stratum stays DM_HTN_CKD (no change — still eGFR &lt; 60). No stratum change fires.</w:t>
      </w:r>
    </w:p>
    <w:p>
      <w:pPr>
        <w:pStyle w:val="ListParagraph"/>
        <w:numPr>
          <w:ilvl w:val="0"/>
          <w:numId w:val="4"/>
        </w:numPr>
        <w:spacing w:after="60"/>
      </w:pPr>
      <w:r>
        <w:rPr>
          <w:rFonts w:ascii="Arial" w:cs="Arial" w:eastAsia="Arial" w:hAnsi="Arial"/>
          <w:sz w:val="22"/>
          <w:szCs w:val="22"/>
        </w:rPr>
        <w:t xml:space="preserve">MEDICATION_THRESHOLD_CROSSED event (F-03): eGFR crossed 45 boundary (G3a→G3b). Affected medications: metformin → REDUCE to 500–1000mg (was 2000mg); SGLT2i → efficacy note (if added).</w:t>
      </w:r>
    </w:p>
    <w:p>
      <w:pPr>
        <w:pStyle w:val="ListParagraph"/>
        <w:numPr>
          <w:ilvl w:val="0"/>
          <w:numId w:val="4"/>
        </w:numPr>
        <w:spacing w:after="60"/>
      </w:pPr>
      <w:r>
        <w:rPr>
          <w:rFonts w:ascii="Arial" w:cs="Arial" w:eastAsia="Arial" w:hAnsi="Arial"/>
          <w:sz w:val="22"/>
          <w:szCs w:val="22"/>
        </w:rPr>
        <w:t xml:space="preserve">SAFETY_ALERT event: eGFR dropped by 15 points in 4 months. Severity: RED. Reason: potential acute kidney injury vs rapid CKD progression. Nephrology referral recommended.</w:t>
      </w:r>
    </w:p>
    <w:p>
      <w:pPr>
        <w:pStyle w:val="ListParagraph"/>
        <w:numPr>
          <w:ilvl w:val="0"/>
          <w:numId w:val="4"/>
        </w:numPr>
        <w:spacing w:after="60"/>
      </w:pPr>
      <w:r>
        <w:rPr>
          <w:rFonts w:ascii="Arial" w:cs="Arial" w:eastAsia="Arial" w:hAnsi="Arial"/>
          <w:sz w:val="22"/>
          <w:szCs w:val="22"/>
        </w:rPr>
        <w:t xml:space="preserve">KB-19 receives SAFETY_ALERT. Active P2 HPI session receives updated safety_overrides on next question’s stratum query. KB-23 generates URGENT Decision Card.</w:t>
      </w:r>
    </w:p>
    <w:p>
      <w:pPr>
        <w:spacing w:after="120"/>
      </w:pPr>
      <w:r>
        <w:rPr>
          <w:rFonts w:ascii="Arial" w:cs="Arial" w:eastAsia="Arial" w:hAnsi="Arial"/>
          <w:b/>
          <w:bCs/>
          <w:sz w:val="22"/>
          <w:szCs w:val="22"/>
        </w:rPr>
        <w:t xml:space="preserve">Critical test: </w:t>
      </w:r>
      <w:r>
        <w:rPr>
          <w:rFonts w:ascii="Arial" w:cs="Arial" w:eastAsia="Arial" w:hAnsi="Arial"/>
          <w:sz w:val="22"/>
          <w:szCs w:val="22"/>
        </w:rPr>
        <w:t xml:space="preserve">Verify that stratum_label DOESN’T change (stays DM_HTN_CKD), but ckd_substage DOES change (G3a → G3b in the stratum response), and medication alerts fire correctly. This is exactly the gap F-03 identifies.</w:t>
      </w:r>
    </w:p>
    <w:p>
      <w:pPr>
        <w:pBdr>
          <w:bottom w:val="single" w:color="1B5E8C" w:sz="4" w:space="1"/>
        </w:pBdr>
        <w:spacing w:after="200" w:before="200"/>
      </w:pPr>
    </w:p>
    <w:p>
      <w:pPr>
        <w:pStyle w:val="Heading2"/>
        <w:spacing w:after="160" w:before="300"/>
      </w:pPr>
      <w:r>
        <w:t xml:space="preserve">Scenario 3: FDC Prescription → Dual CM Activation (Indian-Specific)</w:t>
      </w:r>
    </w:p>
    <w:p>
      <w:pPr>
        <w:spacing w:after="120"/>
      </w:pPr>
      <w:r>
        <w:rPr>
          <w:rFonts w:ascii="Arial" w:cs="Arial" w:eastAsia="Arial" w:hAnsi="Arial"/>
          <w:b/>
          <w:bCs/>
          <w:sz w:val="22"/>
          <w:szCs w:val="22"/>
        </w:rPr>
        <w:t xml:space="preserve">Setup: </w:t>
      </w:r>
      <w:r>
        <w:rPr>
          <w:rFonts w:ascii="Arial" w:cs="Arial" w:eastAsia="Arial" w:hAnsi="Arial"/>
          <w:sz w:val="22"/>
          <w:szCs w:val="22"/>
        </w:rPr>
        <w:t xml:space="preserve">Patient prescribed Gluconorm-G (metformin 500mg + glimepiride 1mg, a common Indian FDC). How does KB-20 handle this?</w:t>
      </w:r>
    </w:p>
    <w:p>
      <w:pPr>
        <w:spacing w:after="120"/>
      </w:pPr>
      <w:r>
        <w:rPr>
          <w:rFonts w:ascii="Arial" w:cs="Arial" w:eastAsia="Arial" w:hAnsi="Arial"/>
          <w:b/>
          <w:bCs/>
          <w:sz w:val="22"/>
          <w:szCs w:val="22"/>
        </w:rPr>
        <w:t xml:space="preserve">Expected behaviour (with F-01 fix applied):</w:t>
      </w:r>
    </w:p>
    <w:p>
      <w:pPr>
        <w:pStyle w:val="ListParagraph"/>
        <w:numPr>
          <w:ilvl w:val="0"/>
          <w:numId w:val="5"/>
        </w:numPr>
        <w:spacing w:after="60"/>
      </w:pPr>
      <w:r>
        <w:rPr>
          <w:rFonts w:ascii="Arial" w:cs="Arial" w:eastAsia="Arial" w:hAnsi="Arial"/>
          <w:sz w:val="22"/>
          <w:szCs w:val="22"/>
        </w:rPr>
        <w:t xml:space="preserve">MedicationState: ONE record created for the FDC. drug_name = 'Metformin 500mg + Glimepiride 1mg'. fdc_components = [METFORMIN, SULFONYLUREA].</w:t>
      </w:r>
    </w:p>
    <w:p>
      <w:pPr>
        <w:pStyle w:val="ListParagraph"/>
        <w:numPr>
          <w:ilvl w:val="0"/>
          <w:numId w:val="5"/>
        </w:numPr>
        <w:spacing w:after="60"/>
      </w:pPr>
      <w:r>
        <w:rPr>
          <w:rFonts w:ascii="Arial" w:cs="Arial" w:eastAsia="Arial" w:hAnsi="Arial"/>
          <w:sz w:val="22"/>
          <w:szCs w:val="22"/>
        </w:rPr>
        <w:t xml:space="preserve">CM activation: KB-20 evaluates CMs for BOTH METFORMIN and SULFONYLUREA drug classes. Patient gets CM_MET_GI (metformin GI) AND CM_SU_HYPO (sulfonylurea hypoglycemia) activated simultaneously.</w:t>
      </w:r>
    </w:p>
    <w:p>
      <w:pPr>
        <w:pStyle w:val="ListParagraph"/>
        <w:numPr>
          <w:ilvl w:val="0"/>
          <w:numId w:val="5"/>
        </w:numPr>
        <w:spacing w:after="60"/>
      </w:pPr>
      <w:r>
        <w:rPr>
          <w:rFonts w:ascii="Arial" w:cs="Arial" w:eastAsia="Arial" w:hAnsi="Arial"/>
          <w:sz w:val="22"/>
          <w:szCs w:val="22"/>
        </w:rPr>
        <w:t xml:space="preserve">ADR profiles: both METFORMIN GI profile and SULFONYLUREA hypoglycemia profile are active.</w:t>
      </w:r>
    </w:p>
    <w:p>
      <w:pPr>
        <w:pStyle w:val="ListParagraph"/>
        <w:numPr>
          <w:ilvl w:val="0"/>
          <w:numId w:val="5"/>
        </w:numPr>
        <w:spacing w:after="60"/>
      </w:pPr>
      <w:r>
        <w:rPr>
          <w:rFonts w:ascii="Arial" w:cs="Arial" w:eastAsia="Arial" w:hAnsi="Arial"/>
          <w:sz w:val="22"/>
          <w:szCs w:val="22"/>
        </w:rPr>
        <w:t xml:space="preserve">KB-1 interaction check: evaluates both components against current medication list. If patient is also on amlodipine, no interaction. If on a second sulfonylurea (shouldn’t happen, but safety check), KB-1 flags therapeutic duplication.</w:t>
      </w:r>
    </w:p>
    <w:p>
      <w:pPr>
        <w:spacing w:after="120"/>
      </w:pPr>
      <w:r>
        <w:rPr>
          <w:rFonts w:ascii="Arial" w:cs="Arial" w:eastAsia="Arial" w:hAnsi="Arial"/>
          <w:b/>
          <w:bCs/>
          <w:sz w:val="22"/>
          <w:szCs w:val="22"/>
        </w:rPr>
        <w:t xml:space="preserve">Without F-01 fix: </w:t>
      </w:r>
      <w:r>
        <w:rPr>
          <w:rFonts w:ascii="Arial" w:cs="Arial" w:eastAsia="Arial" w:hAnsi="Arial"/>
          <w:sz w:val="22"/>
          <w:szCs w:val="22"/>
        </w:rPr>
        <w:t xml:space="preserve">The FDC is stored as a single medication with drug_class that must be one of the enum values. If stored as METFORMIN, the SULFONYLUREA CM is missed. If stored as SULFONYLUREA, metformin GI CM is missed. FDC decomposition is REQUIRED for correct CM activation in the Indian prescribing context.</w:t>
      </w:r>
    </w:p>
    <w:p>
      <w:pPr>
        <w:pBdr>
          <w:bottom w:val="single" w:color="1B5E8C" w:sz="4" w:space="1"/>
        </w:pBdr>
        <w:spacing w:after="200" w:before="200"/>
      </w:pPr>
    </w:p>
    <w:p>
      <w:pPr>
        <w:pStyle w:val="Heading2"/>
        <w:spacing w:after="160" w:before="300"/>
      </w:pPr>
      <w:r>
        <w:t xml:space="preserve">Scenario 4: Pipeline Batch Write → Completeness Grade Cascade</w:t>
      </w:r>
    </w:p>
    <w:p>
      <w:pPr>
        <w:spacing w:after="120"/>
      </w:pPr>
      <w:r>
        <w:rPr>
          <w:rFonts w:ascii="Arial" w:cs="Arial" w:eastAsia="Arial" w:hAnsi="Arial"/>
          <w:b/>
          <w:bCs/>
          <w:sz w:val="22"/>
          <w:szCs w:val="22"/>
        </w:rPr>
        <w:t xml:space="preserve">Setup: </w:t>
      </w:r>
      <w:r>
        <w:rPr>
          <w:rFonts w:ascii="Arial" w:cs="Arial" w:eastAsia="Arial" w:hAnsi="Arial"/>
          <w:sz w:val="22"/>
          <w:szCs w:val="22"/>
        </w:rPr>
        <w:t xml:space="preserve">Guideline extraction pipeline runs on KDIGO 2024 quick-reference. Phase 5 (kb20_contextual.py) produces 12 ContextualModifierFact records and 8 AdverseReactionProfile records. 3 ADR records have FULL completeness, 4 are PARTIAL, 1 is STUB.</w:t>
      </w:r>
    </w:p>
    <w:p>
      <w:pPr>
        <w:spacing w:after="120"/>
      </w:pPr>
      <w:r>
        <w:rPr>
          <w:rFonts w:ascii="Arial" w:cs="Arial" w:eastAsia="Arial" w:hAnsi="Arial"/>
          <w:b/>
          <w:bCs/>
          <w:sz w:val="22"/>
          <w:szCs w:val="22"/>
        </w:rPr>
        <w:t xml:space="preserve">Expected KB-20 behaviour:</w:t>
      </w:r>
    </w:p>
    <w:p>
      <w:pPr>
        <w:pStyle w:val="ListParagraph"/>
        <w:numPr>
          <w:ilvl w:val="0"/>
          <w:numId w:val="6"/>
        </w:numPr>
        <w:spacing w:after="60"/>
      </w:pPr>
      <w:r>
        <w:rPr>
          <w:rFonts w:ascii="Arial" w:cs="Arial" w:eastAsia="Arial" w:hAnsi="Arial"/>
          <w:sz w:val="22"/>
          <w:szCs w:val="22"/>
        </w:rPr>
        <w:t xml:space="preserve">Batch write endpoint accepts all 20 records. Each record’s completeness_grade is auto-verified (recomputed on write, compared to submitted grade; if mismatch, KB-20’s computation wins).</w:t>
      </w:r>
    </w:p>
    <w:p>
      <w:pPr>
        <w:pStyle w:val="ListParagraph"/>
        <w:numPr>
          <w:ilvl w:val="0"/>
          <w:numId w:val="6"/>
        </w:numPr>
        <w:spacing w:after="60"/>
      </w:pPr>
      <w:r>
        <w:rPr>
          <w:rFonts w:ascii="Arial" w:cs="Arial" w:eastAsia="Arial" w:hAnsi="Arial"/>
          <w:sz w:val="22"/>
          <w:szCs w:val="22"/>
        </w:rPr>
        <w:t xml:space="preserve">3 FULL ADR records: stored with full activation rules. Available immediately for CM activation at full magnitude.</w:t>
      </w:r>
    </w:p>
    <w:p>
      <w:pPr>
        <w:pStyle w:val="ListParagraph"/>
        <w:numPr>
          <w:ilvl w:val="0"/>
          <w:numId w:val="6"/>
        </w:numPr>
        <w:spacing w:after="60"/>
      </w:pPr>
      <w:r>
        <w:rPr>
          <w:rFonts w:ascii="Arial" w:cs="Arial" w:eastAsia="Arial" w:hAnsi="Arial"/>
          <w:sz w:val="22"/>
          <w:szCs w:val="22"/>
        </w:rPr>
        <w:t xml:space="preserve">4 PARTIAL records: stored with completeness_grade = PARTIAL. Available for CM activation at 0.7x magnitude. Flagged in completeness dashboard for evidence enrichment.</w:t>
      </w:r>
    </w:p>
    <w:p>
      <w:pPr>
        <w:pStyle w:val="ListParagraph"/>
        <w:numPr>
          <w:ilvl w:val="0"/>
          <w:numId w:val="6"/>
        </w:numPr>
        <w:spacing w:after="60"/>
      </w:pPr>
      <w:r>
        <w:rPr>
          <w:rFonts w:ascii="Arial" w:cs="Arial" w:eastAsia="Arial" w:hAnsi="Arial"/>
          <w:sz w:val="22"/>
          <w:szCs w:val="22"/>
        </w:rPr>
        <w:t xml:space="preserve">1 STUB record: stored with completeness_grade = STUB. NOT available for CM activation. Visible in completeness dashboard with 'evidence needed' flag.</w:t>
      </w:r>
    </w:p>
    <w:p>
      <w:pPr>
        <w:pStyle w:val="ListParagraph"/>
        <w:numPr>
          <w:ilvl w:val="0"/>
          <w:numId w:val="6"/>
        </w:numPr>
        <w:spacing w:after="60"/>
      </w:pPr>
      <w:r>
        <w:rPr>
          <w:rFonts w:ascii="Arial" w:cs="Arial" w:eastAsia="Arial" w:hAnsi="Arial"/>
          <w:sz w:val="22"/>
          <w:szCs w:val="22"/>
        </w:rPr>
        <w:t xml:space="preserve">If SPLGuard has previously written a FULL record for the same drug_class + symptom as a PARTIAL pipeline record: merge strategy applies. SPL mechanism/onset retained; pipeline context_modifier_rule retained; grade elevated to FULL.</w:t>
      </w:r>
    </w:p>
    <w:p>
      <w:pPr>
        <w:spacing w:after="120"/>
      </w:pPr>
      <w:r>
        <w:rPr>
          <w:rFonts w:ascii="Arial" w:cs="Arial" w:eastAsia="Arial" w:hAnsi="Arial"/>
          <w:b/>
          <w:bCs/>
          <w:sz w:val="22"/>
          <w:szCs w:val="22"/>
        </w:rPr>
        <w:t xml:space="preserve">Verification: </w:t>
      </w:r>
      <w:r>
        <w:rPr>
          <w:rFonts w:ascii="Arial" w:cs="Arial" w:eastAsia="Arial" w:hAnsi="Arial"/>
          <w:sz w:val="22"/>
          <w:szCs w:val="22"/>
        </w:rPr>
        <w:t xml:space="preserve">Query /api/v1/adr/profiles/METFORMIN. Should return merged records from both pipeline and SPLGuard sources. Each record should have correct completeness_grade. STUB records should NOT appear in /api/v1/modifiers/registry/{node_id} responses.</w:t>
      </w:r>
    </w:p>
    <w:p>
      <w:pPr>
        <w:pBdr>
          <w:bottom w:val="single" w:color="1B5E8C" w:sz="4" w:space="1"/>
        </w:pBdr>
        <w:spacing w:after="200" w:before="200"/>
      </w:pPr>
    </w:p>
    <w:p>
      <w:pPr>
        <w:pStyle w:val="Heading2"/>
        <w:spacing w:after="160" w:before="300"/>
      </w:pPr>
      <w:r>
        <w:t xml:space="preserve">Scenario 5: Medication Advisor Flow → KB-20 State Consumption</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The Medication Advisor is the clinician-facing system that generates treatment recommendations. It queries KB-20 for patient state and KB-1 for drug rules to produce a medication adjustment plan. Here is the full flow:</w:t>
      </w:r>
    </w:p>
    <w:p>
      <w:pPr>
        <w:pStyle w:val="ListParagraph"/>
        <w:numPr>
          <w:ilvl w:val="0"/>
          <w:numId w:val="7"/>
        </w:numPr>
        <w:spacing w:after="60"/>
      </w:pPr>
      <w:r>
        <w:rPr>
          <w:rFonts w:ascii="Arial" w:cs="Arial" w:eastAsia="Arial" w:hAnsi="Arial"/>
          <w:sz w:val="22"/>
          <w:szCs w:val="22"/>
        </w:rPr>
        <w:t xml:space="preserve">Clinician opens patient dashboard. Decision Card has been generated by KB-23 showing: 'Metformin dose exceeds G3a maximum. Current: 2000mg/day. Recommended: reduce to 1500mg/day or below.'</w:t>
      </w:r>
    </w:p>
    <w:p>
      <w:pPr>
        <w:pStyle w:val="ListParagraph"/>
        <w:numPr>
          <w:ilvl w:val="0"/>
          <w:numId w:val="7"/>
        </w:numPr>
        <w:spacing w:after="60"/>
      </w:pPr>
      <w:r>
        <w:rPr>
          <w:rFonts w:ascii="Arial" w:cs="Arial" w:eastAsia="Arial" w:hAnsi="Arial"/>
          <w:sz w:val="22"/>
          <w:szCs w:val="22"/>
        </w:rPr>
        <w:t xml:space="preserve">Clinician clicks 'Adjust Medication'. Medication Advisor queries KB-20: GET /api/v1/patient/{id}/profile. Receives: eGFR = 55 (G3a), current medications (metformin 1000mg BD, amlodipine 5mg, telmisartan 40mg), HbA1c = 7.8%.</w:t>
      </w:r>
    </w:p>
    <w:p>
      <w:pPr>
        <w:pStyle w:val="ListParagraph"/>
        <w:numPr>
          <w:ilvl w:val="0"/>
          <w:numId w:val="7"/>
        </w:numPr>
        <w:spacing w:after="60"/>
      </w:pPr>
      <w:r>
        <w:rPr>
          <w:rFonts w:ascii="Arial" w:cs="Arial" w:eastAsia="Arial" w:hAnsi="Arial"/>
          <w:sz w:val="22"/>
          <w:szCs w:val="22"/>
        </w:rPr>
        <w:t xml:space="preserve">Medication Advisor queries KB-1: 'What are the dosing rules for METFORMIN at eGFR 55?' KB-1 responds: maximum 1500mg/day at G3a, monitor serum B12 annually, check renal function every 3–6 months.</w:t>
      </w:r>
    </w:p>
    <w:p>
      <w:pPr>
        <w:pStyle w:val="ListParagraph"/>
        <w:numPr>
          <w:ilvl w:val="0"/>
          <w:numId w:val="7"/>
        </w:numPr>
        <w:spacing w:after="60"/>
      </w:pPr>
      <w:r>
        <w:rPr>
          <w:rFonts w:ascii="Arial" w:cs="Arial" w:eastAsia="Arial" w:hAnsi="Arial"/>
          <w:sz w:val="22"/>
          <w:szCs w:val="22"/>
        </w:rPr>
        <w:t xml:space="preserve">Medication Advisor presents options: (a) Reduce metformin to 500mg BD (1000mg/day) — conservative. (b) Reduce metformin to 500mg+1000mg (1500mg/day) — at threshold. (c) Reduce metformin to 500mg BD + add DPP4i to maintain glycemic control.</w:t>
      </w:r>
    </w:p>
    <w:p>
      <w:pPr>
        <w:pStyle w:val="ListParagraph"/>
        <w:numPr>
          <w:ilvl w:val="0"/>
          <w:numId w:val="7"/>
        </w:numPr>
        <w:spacing w:after="60"/>
      </w:pPr>
      <w:r>
        <w:rPr>
          <w:rFonts w:ascii="Arial" w:cs="Arial" w:eastAsia="Arial" w:hAnsi="Arial"/>
          <w:sz w:val="22"/>
          <w:szCs w:val="22"/>
        </w:rPr>
        <w:t xml:space="preserve">Clinician selects option (c). Medication Advisor writes to KB-20: PUT /api/v1/patient/{id}/medications (metformin: dose_mg reduced to 500mg BD) + POST /api/v1/patient/{id}/medications (new: teneligliptin 20mg OD, drug_class: DPP4I, prescribed_by: vaidshala_physician).</w:t>
      </w:r>
    </w:p>
    <w:p>
      <w:pPr>
        <w:pStyle w:val="ListParagraph"/>
        <w:numPr>
          <w:ilvl w:val="0"/>
          <w:numId w:val="7"/>
        </w:numPr>
        <w:spacing w:after="60"/>
      </w:pPr>
      <w:r>
        <w:rPr>
          <w:rFonts w:ascii="Arial" w:cs="Arial" w:eastAsia="Arial" w:hAnsi="Arial"/>
          <w:sz w:val="22"/>
          <w:szCs w:val="22"/>
        </w:rPr>
        <w:t xml:space="preserve">KB-20 processes: MedicationState updated. MEDICATION_CHANGE events fire for both changes. CM re-evaluation: CM_MET_GI magnitude may decrease (lower metformin dose); new DPP4i CMs activate (minimal for teneligliptin — low ADR profile).</w:t>
      </w:r>
    </w:p>
    <w:p>
      <w:pPr>
        <w:pStyle w:val="ListParagraph"/>
        <w:numPr>
          <w:ilvl w:val="0"/>
          <w:numId w:val="7"/>
        </w:numPr>
        <w:spacing w:after="60"/>
      </w:pPr>
      <w:r>
        <w:rPr>
          <w:rFonts w:ascii="Arial" w:cs="Arial" w:eastAsia="Arial" w:hAnsi="Arial"/>
          <w:sz w:val="22"/>
          <w:szCs w:val="22"/>
        </w:rPr>
        <w:t xml:space="preserve">KB-1 receives MEDICATION_CHANGE event, runs interaction check: metformin + teneligliptin + amlodipine + telmisartan. No significant interactions flagged.</w:t>
      </w:r>
    </w:p>
    <w:p>
      <w:pPr>
        <w:spacing w:after="120"/>
      </w:pPr>
      <w:r>
        <w:rPr>
          <w:rFonts w:ascii="Arial" w:cs="Arial" w:eastAsia="Arial" w:hAnsi="Arial"/>
          <w:b/>
          <w:bCs/>
          <w:sz w:val="22"/>
          <w:szCs w:val="22"/>
        </w:rPr>
        <w:t xml:space="preserve">This scenario validates: </w:t>
      </w:r>
      <w:r>
        <w:rPr>
          <w:rFonts w:ascii="Arial" w:cs="Arial" w:eastAsia="Arial" w:hAnsi="Arial"/>
          <w:sz w:val="22"/>
          <w:szCs w:val="22"/>
        </w:rPr>
        <w:t xml:space="preserve">the read path (profile endpoint), the write path (medication update), event propagation, CM re-evaluation on medication change, and KB-1 interaction checking. It also demonstrates the teneligliptin Indian-market drug scenario from F-01.</w:t>
      </w:r>
    </w:p>
    <w:p>
      <w:pPr>
        <w:pBdr>
          <w:bottom w:val="single" w:color="1B5E8C" w:sz="4" w:space="1"/>
        </w:pBdr>
        <w:spacing w:after="200" w:before="200"/>
      </w:pPr>
    </w:p>
    <w:p>
      <w:pPr>
        <w:pStyle w:val="Heading2"/>
        <w:spacing w:after="160" w:before="300"/>
      </w:pPr>
      <w:r>
        <w:t xml:space="preserve">Scenario 6: Guideline Extraction → KB-20 → HPI Node Consumption (Full Pipeline)</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End-to-end validation from guideline PDF to patient-facing HPI question. This is the most complex scenario — it exercises the extraction pipeline, KB-20 storage, CM activation, and KB-22 consumption.</w:t>
      </w:r>
    </w:p>
    <w:p>
      <w:pPr>
        <w:pStyle w:val="ListParagraph"/>
        <w:numPr>
          <w:ilvl w:val="0"/>
          <w:numId w:val="8"/>
        </w:numPr>
        <w:spacing w:after="60"/>
      </w:pPr>
      <w:r>
        <w:rPr>
          <w:rFonts w:ascii="Arial" w:cs="Arial" w:eastAsia="Arial" w:hAnsi="Arial"/>
          <w:sz w:val="22"/>
          <w:szCs w:val="22"/>
        </w:rPr>
        <w:t xml:space="preserve">KDIGO 2024 guideline PDF is processed by the 8-channel pipeline. Channel B identifies 'amlodipine' + 'peripheral oedema' co-occurrence. Channel G extracts sentence: 'Dihydropyridine CCBs cause dose-dependent peripheral oedema in 5–30% of patients.'</w:t>
      </w:r>
    </w:p>
    <w:p>
      <w:pPr>
        <w:pStyle w:val="ListParagraph"/>
        <w:numPr>
          <w:ilvl w:val="0"/>
          <w:numId w:val="8"/>
        </w:numPr>
        <w:spacing w:after="60"/>
      </w:pPr>
      <w:r>
        <w:rPr>
          <w:rFonts w:ascii="Arial" w:cs="Arial" w:eastAsia="Arial" w:hAnsi="Arial"/>
          <w:sz w:val="22"/>
          <w:szCs w:val="22"/>
        </w:rPr>
        <w:t xml:space="preserve">Phase 5 (kb20_contextual.py) produces: AdverseReactionProfile {drug_class: CCB, symptom: SNOMED_peripheral_oedema, mechanism: 'precapillary arteriolar dilation', onset_window: DOSE_DEPENDENT, incidence: 'common (5–30%)', context_modifier_rule: {type: INCREASE_PRIOR, target: DRUG_INDUCED_OEDEMA, magnitude: 0.40, dose_scaling: {threshold: 5, multiplier: 1.5}}, source: KDIGO_2024, confidence: 0.82}. Completeness_grade: FULL.</w:t>
      </w:r>
    </w:p>
    <w:p>
      <w:pPr>
        <w:pStyle w:val="ListParagraph"/>
        <w:numPr>
          <w:ilvl w:val="0"/>
          <w:numId w:val="8"/>
        </w:numPr>
        <w:spacing w:after="60"/>
      </w:pPr>
      <w:r>
        <w:rPr>
          <w:rFonts w:ascii="Arial" w:cs="Arial" w:eastAsia="Arial" w:hAnsi="Arial"/>
          <w:sz w:val="22"/>
          <w:szCs w:val="22"/>
        </w:rPr>
        <w:t xml:space="preserve">Record is batch-written to KB-20 via /api/v1/pipeline/adr-profiles. KB-20 verifies completeness_grade computation (all fields present, confidence ≥ 0.70 → FULL confirmed).</w:t>
      </w:r>
    </w:p>
    <w:p>
      <w:pPr>
        <w:pStyle w:val="ListParagraph"/>
        <w:numPr>
          <w:ilvl w:val="0"/>
          <w:numId w:val="8"/>
        </w:numPr>
        <w:spacing w:after="60"/>
      </w:pPr>
      <w:r>
        <w:rPr>
          <w:rFonts w:ascii="Arial" w:cs="Arial" w:eastAsia="Arial" w:hAnsi="Arial"/>
          <w:sz w:val="22"/>
          <w:szCs w:val="22"/>
        </w:rPr>
        <w:t xml:space="preserve">Patient from Scenario 1 (on amlodipine 5mg) presents to P3 (Pedal Oedema) HPI node. KB-22 queries KB-20: GET /api/v1/patient/{id}/stratum/P3.</w:t>
      </w:r>
    </w:p>
    <w:p>
      <w:pPr>
        <w:pStyle w:val="ListParagraph"/>
        <w:numPr>
          <w:ilvl w:val="0"/>
          <w:numId w:val="8"/>
        </w:numPr>
        <w:spacing w:after="60"/>
      </w:pPr>
      <w:r>
        <w:rPr>
          <w:rFonts w:ascii="Arial" w:cs="Arial" w:eastAsia="Arial" w:hAnsi="Arial"/>
          <w:sz w:val="22"/>
          <w:szCs w:val="22"/>
        </w:rPr>
        <w:t xml:space="preserve">KB-20 evaluates CM registry for P3. CCB ADR modifier matches: patient has ACTIVE CCB (amlodipine 5mg). Activation rule satisfied. Effect: INCREASE_PRIOR for DRUG_INDUCED_OEDEMA by 0.40 log-odds (at dose 5mg, base magnitude; at 10mg would be 0.60). Completeness_grade: FULL → consumed at full magnitude.</w:t>
      </w:r>
    </w:p>
    <w:p>
      <w:pPr>
        <w:pStyle w:val="ListParagraph"/>
        <w:numPr>
          <w:ilvl w:val="0"/>
          <w:numId w:val="8"/>
        </w:numPr>
        <w:spacing w:after="60"/>
      </w:pPr>
      <w:r>
        <w:rPr>
          <w:rFonts w:ascii="Arial" w:cs="Arial" w:eastAsia="Arial" w:hAnsi="Arial"/>
          <w:sz w:val="22"/>
          <w:szCs w:val="22"/>
        </w:rPr>
        <w:t xml:space="preserve">KB-22 receives: stratum_label = DM_HTN_CKD, active_modifiers includes {CM_CCB_OEDEMA, effect: INCREASE_PRIOR, target: DRUG_INDUCED_OEDEMA, magnitude: 0.40}. KB-22 applies this to the P3 prior table: drug-induced oedema prior shifts upward. First discriminating question adapts: 'Has your ankle swelling changed since starting or increasing your blood pressure medication?' (higher priority because CCB-oedema prior is elevated).</w:t>
      </w:r>
    </w:p>
    <w:p>
      <w:pPr>
        <w:pStyle w:val="ListParagraph"/>
        <w:numPr>
          <w:ilvl w:val="0"/>
          <w:numId w:val="8"/>
        </w:numPr>
        <w:spacing w:after="60"/>
      </w:pPr>
      <w:r>
        <w:rPr>
          <w:rFonts w:ascii="Arial" w:cs="Arial" w:eastAsia="Arial" w:hAnsi="Arial"/>
          <w:sz w:val="22"/>
          <w:szCs w:val="22"/>
        </w:rPr>
        <w:t xml:space="preserve">Patient answers yes in Hindi via WhatsApp voice. KB-22 applies LR+ for drug-temporal-association and computes updated posterior. Drug-induced oedema becomes the leading differential.</w:t>
      </w:r>
    </w:p>
    <w:p>
      <w:pPr>
        <w:spacing w:after="120"/>
      </w:pPr>
      <w:r>
        <w:rPr>
          <w:rFonts w:ascii="Arial" w:cs="Arial" w:eastAsia="Arial" w:hAnsi="Arial"/>
          <w:b/>
          <w:bCs/>
          <w:sz w:val="22"/>
          <w:szCs w:val="22"/>
        </w:rPr>
        <w:t xml:space="preserve">This scenario validates: </w:t>
      </w:r>
      <w:r>
        <w:rPr>
          <w:rFonts w:ascii="Arial" w:cs="Arial" w:eastAsia="Arial" w:hAnsi="Arial"/>
          <w:sz w:val="22"/>
          <w:szCs w:val="22"/>
        </w:rPr>
        <w:t xml:space="preserve">extraction pipeline → KB-20 write → completeness grading → CM registry population → stratum query → CM activation → prior table adjustment → question selection → posterior computation. It is the most important end-to-end test for the D01 gap (KB-20 ADR Profiles with four-element chain).</w:t>
      </w:r>
    </w:p>
    <w:p>
      <w:r>
        <w:br w:type="page"/>
      </w:r>
    </w:p>
    <w:p>
      <w:pPr>
        <w:pStyle w:val="Heading1"/>
        <w:spacing w:after="160" w:before="300"/>
      </w:pPr>
      <w:r>
        <w:t xml:space="preserve">5. Pre-Implementation Checklist</w:t>
      </w:r>
    </w:p>
    <w:p>
      <w:pPr>
        <w:spacing w:after="120"/>
      </w:pPr>
      <w:r>
        <w:rPr>
          <w:rFonts w:ascii="Arial" w:cs="Arial" w:eastAsia="Arial" w:hAnsi="Arial"/>
          <w:sz w:val="22"/>
          <w:szCs w:val="22"/>
        </w:rPr>
        <w:t xml:space="preserve">All items must be resolved or acknowledged before writing KB-20 code. RED items are must-fix. AMBER items can be deferred to Week 2–3 but must be tracked.</w:t>
      </w:r>
    </w:p>
    <w:p>
      <w:pPr>
        <w:pBdr>
          <w:bottom w:val="single" w:color="1B5E8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000"/>
        <w:gridCol w:w="3560"/>
      </w:tblGrid>
      <w:tr>
        <w:tc>
          <w:tcPr>
            <w:tcW w:type="dxa" w:w="8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40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c>
          <w:tcPr>
            <w:tcW w:type="dxa" w:w="100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560"/>
            <w:tcBorders>
              <w:top w:val="single" w:color="BBBBBB" w:sz="1"/>
              <w:left w:val="single" w:color="BBBBBB" w:sz="1"/>
              <w:bottom w:val="single" w:color="BBBBBB" w:sz="1"/>
              <w:right w:val="single" w:color="BBBBBB"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F-01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fdc_components to MedicationState schema; add MANUAL_CURATED source type; enumerate 15–20 India-specific drug ADR profiles</w:t>
            </w:r>
          </w:p>
        </w:tc>
        <w:tc>
          <w:tcPr>
            <w:tcW w:type="dxa" w:w="10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RED</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Blocks correct CM activation for 60–70% of Indian prescriptions (FDCs)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F-03</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MEDICATION_THRESHOLD_CROSSED event type; add ckd_substage to stratum response</w:t>
            </w:r>
          </w:p>
        </w:tc>
        <w:tc>
          <w:tcPr>
            <w:tcW w:type="dxa" w:w="10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RED</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Blocks medication safety alerts for intra-stratum boundary crossings (G3a→G3b, G3b→G4)</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F-05</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Define lab plausibility ranges; implement rejection + flagging logic on lab write endpoint</w:t>
            </w:r>
          </w:p>
        </w:tc>
        <w:tc>
          <w:tcPr>
            <w:tcW w:type="dxa" w:w="10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RED</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Blocks data quality protection; garbage inputs cascade to false RED alerts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F-02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KB-22 integration test for completeness_grade consumption (FULL/PARTIAL/STUB)</w:t>
            </w:r>
          </w:p>
        </w:tc>
        <w:tc>
          <w:tcPr>
            <w:tcW w:type="dxa" w:w="1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color w:val="D4850A"/>
                <w:sz w:val="20"/>
                <w:szCs w:val="20"/>
              </w:rPr>
              <w:t xml:space="preserve">AMBER</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Test during Week 2; non-blocking for KB-20 build itself</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F-04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node_confidence_overrides to stratum_rules.yaml; implement in CM activation logic</w:t>
            </w:r>
          </w:p>
        </w:tc>
        <w:tc>
          <w:tcPr>
            <w:tcW w:type="dxa" w:w="1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color w:val="D4850A"/>
                <w:sz w:val="20"/>
                <w:szCs w:val="20"/>
              </w:rPr>
              <w:t xml:space="preserve">AMBER</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Can use global thresholds for initial build; per-node needed before P4/P5</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F-06</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Document V-MCU integration contract; add insulin_units_per_kg derived field</w:t>
            </w:r>
          </w:p>
        </w:tc>
        <w:tc>
          <w:tcPr>
            <w:tcW w:type="dxa" w:w="1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color w:val="D4850A"/>
                <w:sz w:val="20"/>
                <w:szCs w:val="20"/>
              </w:rPr>
              <w:t xml:space="preserve">AMBER</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V-MCU can use existing endpoints; formal contract improves maintainability</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F-07</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KB-18 as event bus consumer for audit trail</w:t>
            </w:r>
          </w:p>
        </w:tc>
        <w:tc>
          <w:tcPr>
            <w:tcW w:type="dxa" w:w="1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GREEN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Required for production but not for development builds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F-08</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Audit P0 Dizziness patient state access patterns; migrate to KB-20 API</w:t>
            </w:r>
          </w:p>
        </w:tc>
        <w:tc>
          <w:tcPr>
            <w:tcW w:type="dxa" w:w="1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tcPr>
          <w:p>
            <w:r>
              <w:rPr>
                <w:rFonts w:ascii="Arial" w:cs="Arial" w:eastAsia="Arial" w:hAnsi="Arial"/>
                <w:b/>
                <w:bCs/>
                <w:color w:val="27864A"/>
                <w:sz w:val="20"/>
                <w:szCs w:val="20"/>
              </w:rPr>
              <w:t xml:space="preserve">GREEN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Non-blocking for P3–P7 build</w:t>
            </w:r>
          </w:p>
        </w:tc>
      </w:tr>
    </w:tbl>
    <w:p>
      <w:pPr>
        <w:spacing w:after="120"/>
      </w:pPr>
      <w:r>
        <w:rPr>
          <w:rFonts w:ascii="Arial" w:cs="Arial" w:eastAsia="Arial" w:hAnsi="Arial"/>
          <w:sz w:val="22"/>
          <w:szCs w:val="22"/>
        </w:rPr>
        <w:t xml:space="preserve"/>
      </w:r>
    </w:p>
    <w:p>
      <w:pPr>
        <w:pBdr>
          <w:bottom w:val="single" w:color="1B5E8C" w:sz="4" w:space="1"/>
        </w:pBdr>
        <w:spacing w:after="200" w:before="200"/>
      </w:pPr>
    </w:p>
    <w:p>
      <w:pPr>
        <w:pStyle w:val="Heading2"/>
        <w:spacing w:after="160" w:before="300"/>
      </w:pPr>
      <w:r>
        <w:t xml:space="preserve">5.1 Revised Implementation Priority (Post-Review)</w:t>
      </w:r>
    </w:p>
    <w:p>
      <w:pPr>
        <w:spacing w:after="120"/>
      </w:pPr>
      <w:r>
        <w:rPr>
          <w:rFonts w:ascii="Arial" w:cs="Arial" w:eastAsia="Arial" w:hAnsi="Arial"/>
          <w:sz w:val="22"/>
          <w:szCs w:val="22"/>
        </w:rPr>
        <w:t xml:space="preserve">The original Section 16 priority matrix holds. The three RED findings integrate as follows:</w:t>
      </w:r>
    </w:p>
    <w:p>
      <w:pPr>
        <w:pStyle w:val="ListParagraph"/>
        <w:numPr>
          <w:ilvl w:val="0"/>
          <w:numId w:val="5"/>
        </w:numPr>
        <w:spacing w:after="60"/>
      </w:pPr>
      <w:r>
        <w:rPr>
          <w:rFonts w:ascii="Arial" w:cs="Arial" w:eastAsia="Arial" w:hAnsi="Arial"/>
          <w:sz w:val="22"/>
          <w:szCs w:val="22"/>
        </w:rPr>
        <w:t xml:space="preserve">Week 1, Day 1–2: Implement PatientProfile + LabTracker WITH lab validation rules (F-05). The validation logic is 30–50 lines of code per lab type — trivial to implement but critical to get right from the start.</w:t>
      </w:r>
    </w:p>
    <w:p>
      <w:pPr>
        <w:pStyle w:val="ListParagraph"/>
        <w:numPr>
          <w:ilvl w:val="0"/>
          <w:numId w:val="5"/>
        </w:numPr>
        <w:spacing w:after="60"/>
      </w:pPr>
      <w:r>
        <w:rPr>
          <w:rFonts w:ascii="Arial" w:cs="Arial" w:eastAsia="Arial" w:hAnsi="Arial"/>
          <w:sz w:val="22"/>
          <w:szCs w:val="22"/>
        </w:rPr>
        <w:t xml:space="preserve">Week 1, Day 2–3: Implement MedicationState WITH fdc_components field (F-01). FDC decomposition logic adds ~1 day of work. Hand-curate the initial 15–20 India-specific AdverseReactionProfile records during this sprint.</w:t>
      </w:r>
    </w:p>
    <w:p>
      <w:pPr>
        <w:pStyle w:val="ListParagraph"/>
        <w:numPr>
          <w:ilvl w:val="0"/>
          <w:numId w:val="5"/>
        </w:numPr>
        <w:spacing w:after="60"/>
      </w:pPr>
      <w:r>
        <w:rPr>
          <w:rFonts w:ascii="Arial" w:cs="Arial" w:eastAsia="Arial" w:hAnsi="Arial"/>
          <w:sz w:val="22"/>
          <w:szCs w:val="22"/>
        </w:rPr>
        <w:t xml:space="preserve">Week 1, Day 3–4: Implement stratum activation API with ckd_substage in response (F-03). Add MEDICATION_THRESHOLD_CROSSED event type to event bus.</w:t>
      </w:r>
    </w:p>
    <w:p>
      <w:pPr>
        <w:pStyle w:val="ListParagraph"/>
        <w:numPr>
          <w:ilvl w:val="0"/>
          <w:numId w:val="5"/>
        </w:numPr>
        <w:spacing w:after="60"/>
      </w:pPr>
      <w:r>
        <w:rPr>
          <w:rFonts w:ascii="Arial" w:cs="Arial" w:eastAsia="Arial" w:hAnsi="Arial"/>
          <w:sz w:val="22"/>
          <w:szCs w:val="22"/>
        </w:rPr>
        <w:t xml:space="preserve">Week 2: CM registry, completeness grading, pipeline batch write endpoints. Run KB-22 integration test for completeness grade consumption (F-02).</w:t>
      </w:r>
    </w:p>
    <w:p>
      <w:pPr>
        <w:pStyle w:val="ListParagraph"/>
        <w:numPr>
          <w:ilvl w:val="0"/>
          <w:numId w:val="5"/>
        </w:numPr>
        <w:spacing w:after="60"/>
      </w:pPr>
      <w:r>
        <w:rPr>
          <w:rFonts w:ascii="Arial" w:cs="Arial" w:eastAsia="Arial" w:hAnsi="Arial"/>
          <w:sz w:val="22"/>
          <w:szCs w:val="22"/>
        </w:rPr>
        <w:t xml:space="preserve">Week 3–4: ADR profile storage, dual ingestion path merge logic, eGFR trajectory engine. Add per-node confidence overrides (F-04). Document V-MCU contract (F-06).</w:t>
      </w:r>
    </w:p>
    <w:p>
      <w:pPr>
        <w:pStyle w:val="ListParagraph"/>
        <w:numPr>
          <w:ilvl w:val="0"/>
          <w:numId w:val="5"/>
        </w:numPr>
        <w:spacing w:after="60"/>
      </w:pPr>
      <w:r>
        <w:rPr>
          <w:rFonts w:ascii="Arial" w:cs="Arial" w:eastAsia="Arial" w:hAnsi="Arial"/>
          <w:sz w:val="22"/>
          <w:szCs w:val="22"/>
        </w:rPr>
        <w:t xml:space="preserve">Week 5+: CV risk computation, Circle 2 lab fields, KB-18 audit trail integration (F-07), P0 migration audit (F-08).</w:t>
      </w:r>
    </w:p>
    <w:p>
      <w:r>
        <w:br w:type="page"/>
      </w:r>
    </w:p>
    <w:p>
      <w:pPr>
        <w:pStyle w:val="Heading1"/>
        <w:spacing w:after="160" w:before="300"/>
      </w:pPr>
      <w:r>
        <w:t xml:space="preserve">6. Review Summary &amp; Sign-Off Recommendation</w:t>
      </w:r>
    </w:p>
    <w:p>
      <w:pPr>
        <w:pBdr>
          <w:bottom w:val="single" w:color="1B5E8C" w:sz="4" w:space="1"/>
        </w:pBdr>
        <w:spacing w:after="200" w:before="200"/>
      </w:pPr>
    </w:p>
    <w:p>
      <w:pPr>
        <w:spacing w:after="120"/>
      </w:pPr>
      <w:r>
        <w:rPr>
          <w:rFonts w:ascii="Arial" w:cs="Arial" w:eastAsia="Arial" w:hAnsi="Arial"/>
          <w:b/>
          <w:bCs/>
          <w:sz w:val="22"/>
          <w:szCs w:val="22"/>
        </w:rPr>
        <w:t xml:space="preserve">Corrections audit: </w:t>
      </w:r>
      <w:r>
        <w:rPr>
          <w:rFonts w:ascii="Arial" w:cs="Arial" w:eastAsia="Arial" w:hAnsi="Arial"/>
          <w:sz w:val="22"/>
          <w:szCs w:val="22"/>
        </w:rPr>
        <w:t xml:space="preserve">All 5 corrections are addressed in the spec. Corrections 1, 2, 3 are fully resolved. Correction 4 is partially resolved (Finding F-03 required). Correction 5 is deferred to integration testing phase.</w:t>
      </w:r>
    </w:p>
    <w:p>
      <w:pPr>
        <w:spacing w:after="120"/>
      </w:pPr>
      <w:r>
        <w:rPr>
          <w:rFonts w:ascii="Arial" w:cs="Arial" w:eastAsia="Arial" w:hAnsi="Arial"/>
          <w:b/>
          <w:bCs/>
          <w:sz w:val="22"/>
          <w:szCs w:val="22"/>
        </w:rPr>
        <w:t xml:space="preserve">Gap register audit: </w:t>
      </w:r>
      <w:r>
        <w:rPr>
          <w:rFonts w:ascii="Arial" w:cs="Arial" w:eastAsia="Arial" w:hAnsi="Arial"/>
          <w:sz w:val="22"/>
          <w:szCs w:val="22"/>
        </w:rPr>
        <w:t xml:space="preserve">Of the 27 gaps, KB-20 directly resolves 6 gaps (A01, A02, B01, B03-design, B04-design, D01, D06), partially resolves 3 (B02, B05, D04), confirms 2 out-of-scope (A03, A04), and is ready for 3 pipeline dependencies (D02, D03, D05). No gaps were missed or contradicted.</w:t>
      </w:r>
    </w:p>
    <w:p>
      <w:pPr>
        <w:spacing w:after="120"/>
      </w:pPr>
      <w:r>
        <w:rPr>
          <w:rFonts w:ascii="Arial" w:cs="Arial" w:eastAsia="Arial" w:hAnsi="Arial"/>
          <w:b/>
          <w:bCs/>
          <w:sz w:val="22"/>
          <w:szCs w:val="22"/>
        </w:rPr>
        <w:t xml:space="preserve">Findings: </w:t>
      </w:r>
      <w:r>
        <w:rPr>
          <w:rFonts w:ascii="Arial" w:cs="Arial" w:eastAsia="Arial" w:hAnsi="Arial"/>
          <w:sz w:val="22"/>
          <w:szCs w:val="22"/>
        </w:rPr>
        <w:t xml:space="preserve">3 RED findings must be incorporated into the schema before coding begins. F-01 (FDC decomposition) is the most architecturally significant — it adds the fdc_components field to MedicationState and the MANUAL_CURATED source type. F-03 (intra-stratum medication alerts) adds a new event type and ckd_substage to the stratum response. F-05 (lab validation) adds plausibility checking on all write endpoints. All three are addressable within the existing architecture without redesign.</w:t>
      </w:r>
    </w:p>
    <w:p>
      <w:pPr>
        <w:spacing w:after="120"/>
      </w:pPr>
      <w:r>
        <w:rPr>
          <w:rFonts w:ascii="Arial" w:cs="Arial" w:eastAsia="Arial" w:hAnsi="Arial"/>
          <w:b/>
          <w:bCs/>
          <w:sz w:val="22"/>
          <w:szCs w:val="22"/>
        </w:rPr>
        <w:t xml:space="preserve">Scenario coverage: </w:t>
      </w:r>
      <w:r>
        <w:rPr>
          <w:rFonts w:ascii="Arial" w:cs="Arial" w:eastAsia="Arial" w:hAnsi="Arial"/>
          <w:sz w:val="22"/>
          <w:szCs w:val="22"/>
        </w:rPr>
        <w:t xml:space="preserve">The 6 scenarios exercise: new patient intake, mid-session stratum boundary crossing, Indian FDC handling, pipeline batch write with completeness grading, medication advisor flow, and full end-to-end pipeline-to-HPI-node flow. These should be implemented as integration tests.</w:t>
      </w:r>
    </w:p>
    <w:p>
      <w:pPr>
        <w:pBdr>
          <w:bottom w:val="single" w:color="1B5E8C" w:sz="4" w:space="1"/>
        </w:pBdr>
        <w:spacing w:after="200" w:before="200"/>
      </w:pPr>
    </w:p>
    <w:p>
      <w:pPr>
        <w:spacing w:after="120"/>
      </w:pPr>
      <w:r>
        <w:rPr>
          <w:rFonts w:ascii="Arial" w:cs="Arial" w:eastAsia="Arial" w:hAnsi="Arial"/>
          <w:b/>
          <w:bCs/>
          <w:color w:val="1B5E8C"/>
          <w:sz w:val="22"/>
          <w:szCs w:val="22"/>
        </w:rPr>
        <w:t xml:space="preserve">RECOMMENDATION: </w:t>
      </w:r>
      <w:r>
        <w:rPr>
          <w:rFonts w:ascii="Arial" w:cs="Arial" w:eastAsia="Arial" w:hAnsi="Arial"/>
          <w:b/>
          <w:bCs/>
          <w:sz w:val="22"/>
          <w:szCs w:val="22"/>
        </w:rPr>
        <w:t xml:space="preserve">Proceed with implementation after incorporating the three RED findings (F-01, F-03, F-05) into the KB-20 specification. </w:t>
      </w:r>
      <w:r>
        <w:rPr>
          <w:rFonts w:ascii="Arial" w:cs="Arial" w:eastAsia="Arial" w:hAnsi="Arial"/>
          <w:sz w:val="22"/>
          <w:szCs w:val="22"/>
        </w:rPr>
        <w:t xml:space="preserve">The specification is architecturally sound, correctly scoped, and aligned with all five corrections and the 27-gap register. The three RED findings are schema additions, not redesigns. Estimated additional effort for RED fixes: 2–3 days added to Week 1, absorbed by the existing 5–6 week timeline.</w:t>
      </w:r>
    </w:p>
    <w:p>
      <w:pPr>
        <w:pBdr>
          <w:bottom w:val="single" w:color="1B5E8C" w:sz="4" w:space="1"/>
        </w:pBdr>
        <w:spacing w:after="200" w:before="200"/>
      </w:pPr>
    </w:p>
    <w:p>
      <w:pPr>
        <w:spacing w:after="120"/>
      </w:pPr>
      <w:r>
        <w:rPr>
          <w:rFonts w:ascii="Arial" w:cs="Arial" w:eastAsia="Arial" w:hAnsi="Arial"/>
          <w:i/>
          <w:iCs/>
          <w:sz w:val="22"/>
          <w:szCs w:val="22"/>
        </w:rPr>
        <w:t xml:space="preserve">End of review. This document should be filed alongside Vaidshala_KB20_Deep_Dive_Specification.docx and the HPI Gap Analysis for the implementation team’s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KB-20 Pre-Implementation Review  |  Vaidshala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8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2026-03-04T03:50:09.763Z</dcterms:created>
  <dcterms:modified xsi:type="dcterms:W3CDTF">2026-03-04T03:50:09.764Z</dcterms:modified>
</cp:coreProperties>
</file>

<file path=docProps/custom.xml><?xml version="1.0" encoding="utf-8"?>
<Properties xmlns="http://schemas.openxmlformats.org/officeDocument/2006/custom-properties" xmlns:vt="http://schemas.openxmlformats.org/officeDocument/2006/docPropsVTypes"/>
</file>