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200"/>
      </w:pPr>
    </w:p>
    <w:p>
      <w:pPr>
        <w:spacing w:after="80" w:before="0"/>
        <w:jc w:val="left"/>
      </w:pPr>
      <w:r>
        <w:rPr>
          <w:rFonts w:ascii="Arial" w:cs="Arial" w:eastAsia="Arial" w:hAnsi="Arial"/>
          <w:b/>
          <w:bCs/>
          <w:i w:val="false"/>
          <w:iCs w:val="false"/>
          <w:color w:val="2E86C1"/>
          <w:sz w:val="24"/>
          <w:szCs w:val="24"/>
        </w:rPr>
        <w:t xml:space="preserve">VAIDSHALA</w:t>
      </w:r>
    </w:p>
    <w:p>
      <w:pPr>
        <w:pBdr>
          <w:bottom w:val="single" w:color="1B4F72" w:sz="6" w:space="8"/>
        </w:pBdr>
        <w:spacing w:after="200"/>
      </w:pPr>
    </w:p>
    <w:p>
      <w:pPr>
        <w:spacing w:after="100"/>
      </w:pPr>
    </w:p>
    <w:p>
      <w:pPr>
        <w:spacing w:after="60" w:before="0"/>
        <w:jc w:val="left"/>
      </w:pPr>
      <w:r>
        <w:rPr>
          <w:rFonts w:ascii="Arial" w:cs="Arial" w:eastAsia="Arial" w:hAnsi="Arial"/>
          <w:b/>
          <w:bCs/>
          <w:i w:val="false"/>
          <w:iCs w:val="false"/>
          <w:color w:val="1B4F72"/>
          <w:sz w:val="44"/>
          <w:szCs w:val="44"/>
        </w:rPr>
        <w:t xml:space="preserve">Clinical Canon Framework</w:t>
      </w:r>
    </w:p>
    <w:p>
      <w:pPr>
        <w:spacing w:after="20" w:before="0"/>
        <w:jc w:val="left"/>
      </w:pPr>
      <w:r>
        <w:rPr>
          <w:rFonts w:ascii="Arial" w:cs="Arial" w:eastAsia="Arial" w:hAnsi="Arial"/>
          <w:b w:val="false"/>
          <w:bCs w:val="false"/>
          <w:i w:val="false"/>
          <w:iCs w:val="false"/>
          <w:color w:val="2E86C1"/>
          <w:sz w:val="26"/>
          <w:szCs w:val="26"/>
        </w:rPr>
        <w:t xml:space="preserve">Multi-Source Derivation for KB-22 HPI Engine</w:t>
      </w:r>
    </w:p>
    <w:p>
      <w:pPr>
        <w:spacing w:after="60" w:before="0"/>
        <w:jc w:val="left"/>
      </w:pPr>
      <w:r>
        <w:rPr>
          <w:rFonts w:ascii="Arial" w:cs="Arial" w:eastAsia="Arial" w:hAnsi="Arial"/>
          <w:b w:val="false"/>
          <w:bCs w:val="false"/>
          <w:i w:val="false"/>
          <w:iCs w:val="false"/>
          <w:color w:val="2E86C1"/>
          <w:sz w:val="26"/>
          <w:szCs w:val="26"/>
        </w:rPr>
        <w:t xml:space="preserve">Phase 4: 10 Presentation Nodes</w:t>
      </w:r>
    </w:p>
    <w:p>
      <w:pPr>
        <w:spacing w:after="100"/>
      </w:pPr>
    </w:p>
    <w:p>
      <w:pPr>
        <w:spacing w:after="20" w:before="0"/>
        <w:jc w:val="left"/>
      </w:pPr>
      <w:r>
        <w:rPr>
          <w:rFonts w:ascii="Arial" w:cs="Arial" w:eastAsia="Arial" w:hAnsi="Arial"/>
          <w:b w:val="false"/>
          <w:bCs w:val="false"/>
          <w:i/>
          <w:iCs/>
          <w:color w:val="5D6D7E"/>
          <w:sz w:val="20"/>
          <w:szCs w:val="20"/>
        </w:rPr>
        <w:t xml:space="preserve">Mapping BMJ + NICE + ADA + API-ICP + KDIGO + McGee</w:t>
      </w:r>
    </w:p>
    <w:p>
      <w:pPr>
        <w:spacing w:after="60" w:before="0"/>
        <w:jc w:val="left"/>
      </w:pPr>
      <w:r>
        <w:rPr>
          <w:rFonts w:ascii="Arial" w:cs="Arial" w:eastAsia="Arial" w:hAnsi="Arial"/>
          <w:b w:val="false"/>
          <w:bCs w:val="false"/>
          <w:i/>
          <w:iCs/>
          <w:color w:val="5D6D7E"/>
          <w:sz w:val="20"/>
          <w:szCs w:val="20"/>
        </w:rPr>
        <w:t xml:space="preserve">to Population-Specific Differential Trees for Indian DM+HTN Cohort</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900"/>
        <w:gridCol w:w="6080"/>
      </w:tblGrid>
      <w:tr>
        <w:tc>
          <w:tcPr>
            <w:tcW w:type="dxa" w:w="7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Node</w:t>
            </w:r>
          </w:p>
        </w:tc>
        <w:tc>
          <w:tcPr>
            <w:tcW w:type="dxa" w:w="24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Name</w:t>
            </w:r>
          </w:p>
        </w:tc>
        <w:tc>
          <w:tcPr>
            <w:tcW w:type="dxa" w:w="9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Priority</w:t>
            </w:r>
          </w:p>
        </w:tc>
        <w:tc>
          <w:tcPr>
            <w:tcW w:type="dxa" w:w="60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Primary Canon Driver</w:t>
            </w:r>
          </w:p>
        </w:tc>
      </w:tr>
      <w:tr>
        <w:tc>
          <w:tcPr>
            <w:tcW w:type="dxa" w:w="7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P01</w:t>
            </w:r>
          </w:p>
        </w:tc>
        <w:tc>
          <w:tcPr>
            <w:tcW w:type="dxa" w:w="2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Dizziness</w:t>
            </w:r>
          </w:p>
        </w:tc>
        <w:tc>
          <w:tcPr>
            <w:tcW w:type="dxa" w:w="9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HIGH</w:t>
            </w:r>
          </w:p>
        </w:tc>
        <w:tc>
          <w:tcPr>
            <w:tcW w:type="dxa" w:w="6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API-ICP (medication patterns)</w:t>
            </w:r>
          </w:p>
        </w:tc>
      </w:tr>
      <w:tr>
        <w:tc>
          <w:tcPr>
            <w:tcW w:type="dxa" w:w="7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P02</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Hypoglycemia Symptoms</w:t>
            </w:r>
          </w:p>
        </w:tc>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CRITICAL</w:t>
            </w:r>
          </w:p>
        </w:tc>
        <w:tc>
          <w:tcPr>
            <w:tcW w:type="dxa" w:w="6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ADA (classification)</w:t>
            </w:r>
          </w:p>
        </w:tc>
      </w:tr>
      <w:tr>
        <w:tc>
          <w:tcPr>
            <w:tcW w:type="dxa" w:w="7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P03</w:t>
            </w:r>
          </w:p>
        </w:tc>
        <w:tc>
          <w:tcPr>
            <w:tcW w:type="dxa" w:w="2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Edema</w:t>
            </w:r>
          </w:p>
        </w:tc>
        <w:tc>
          <w:tcPr>
            <w:tcW w:type="dxa" w:w="9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HIGH</w:t>
            </w:r>
          </w:p>
        </w:tc>
        <w:tc>
          <w:tcPr>
            <w:tcW w:type="dxa" w:w="6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API-ICP (CCB prevalence)</w:t>
            </w:r>
          </w:p>
        </w:tc>
      </w:tr>
      <w:tr>
        <w:tc>
          <w:tcPr>
            <w:tcW w:type="dxa" w:w="7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P04</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Visual Changes</w:t>
            </w:r>
          </w:p>
        </w:tc>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HIGH</w:t>
            </w:r>
          </w:p>
        </w:tc>
        <w:tc>
          <w:tcPr>
            <w:tcW w:type="dxa" w:w="6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ADA (retinopathy)</w:t>
            </w:r>
          </w:p>
        </w:tc>
      </w:tr>
      <w:tr>
        <w:tc>
          <w:tcPr>
            <w:tcW w:type="dxa" w:w="7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P05</w:t>
            </w:r>
          </w:p>
        </w:tc>
        <w:tc>
          <w:tcPr>
            <w:tcW w:type="dxa" w:w="2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Polyuria/Polydipsia</w:t>
            </w:r>
          </w:p>
        </w:tc>
        <w:tc>
          <w:tcPr>
            <w:tcW w:type="dxa" w:w="9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MEDIUM</w:t>
            </w:r>
          </w:p>
        </w:tc>
        <w:tc>
          <w:tcPr>
            <w:tcW w:type="dxa" w:w="6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ADA (SGLT2i mechanism)</w:t>
            </w:r>
          </w:p>
        </w:tc>
      </w:tr>
      <w:tr>
        <w:tc>
          <w:tcPr>
            <w:tcW w:type="dxa" w:w="7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P06</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Peripheral Neuropathy</w:t>
            </w:r>
          </w:p>
        </w:tc>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MEDIUM</w:t>
            </w:r>
          </w:p>
        </w:tc>
        <w:tc>
          <w:tcPr>
            <w:tcW w:type="dxa" w:w="6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ADA + API-ICP (B12/diet)</w:t>
            </w:r>
          </w:p>
        </w:tc>
      </w:tr>
      <w:tr>
        <w:tc>
          <w:tcPr>
            <w:tcW w:type="dxa" w:w="7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P07</w:t>
            </w:r>
          </w:p>
        </w:tc>
        <w:tc>
          <w:tcPr>
            <w:tcW w:type="dxa" w:w="2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GI Disturbance</w:t>
            </w:r>
          </w:p>
        </w:tc>
        <w:tc>
          <w:tcPr>
            <w:tcW w:type="dxa" w:w="9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HIGH</w:t>
            </w:r>
          </w:p>
        </w:tc>
        <w:tc>
          <w:tcPr>
            <w:tcW w:type="dxa" w:w="6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ADA (metformin ADR)</w:t>
            </w:r>
          </w:p>
        </w:tc>
      </w:tr>
      <w:tr>
        <w:tc>
          <w:tcPr>
            <w:tcW w:type="dxa" w:w="7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P08</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Fatigue</w:t>
            </w:r>
          </w:p>
        </w:tc>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MEDIUM</w:t>
            </w:r>
          </w:p>
        </w:tc>
        <w:tc>
          <w:tcPr>
            <w:tcW w:type="dxa" w:w="6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BMJ (broad framework)</w:t>
            </w:r>
          </w:p>
        </w:tc>
      </w:tr>
      <w:tr>
        <w:tc>
          <w:tcPr>
            <w:tcW w:type="dxa" w:w="7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P09</w:t>
            </w:r>
          </w:p>
        </w:tc>
        <w:tc>
          <w:tcPr>
            <w:tcW w:type="dxa" w:w="2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Chest Discomfort</w:t>
            </w:r>
          </w:p>
        </w:tc>
        <w:tc>
          <w:tcPr>
            <w:tcW w:type="dxa" w:w="9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CRITICAL</w:t>
            </w:r>
          </w:p>
        </w:tc>
        <w:tc>
          <w:tcPr>
            <w:tcW w:type="dxa" w:w="6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BMJ + API-ICP (CAD risk)</w:t>
            </w:r>
          </w:p>
        </w:tc>
      </w:tr>
      <w:tr>
        <w:tc>
          <w:tcPr>
            <w:tcW w:type="dxa" w:w="7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P10</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Headache</w:t>
            </w:r>
          </w:p>
        </w:tc>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MEDIUM</w:t>
            </w:r>
          </w:p>
        </w:tc>
        <w:tc>
          <w:tcPr>
            <w:tcW w:type="dxa" w:w="6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API-ICP (HTN control)</w:t>
            </w:r>
          </w:p>
        </w:tc>
      </w:tr>
    </w:tbl>
    <w:p>
      <w:pPr>
        <w:spacing w:after="300"/>
      </w:pPr>
    </w:p>
    <w:p>
      <w:pPr>
        <w:spacing w:after="40" w:before="0"/>
        <w:jc w:val="left"/>
      </w:pPr>
      <w:r>
        <w:rPr>
          <w:rFonts w:ascii="Arial" w:cs="Arial" w:eastAsia="Arial" w:hAnsi="Arial"/>
          <w:b w:val="false"/>
          <w:bCs w:val="false"/>
          <w:i w:val="false"/>
          <w:iCs w:val="false"/>
          <w:color w:val="5D6D7E"/>
          <w:sz w:val="18"/>
          <w:szCs w:val="18"/>
        </w:rPr>
        <w:t xml:space="preserve">Version 1.0  |  February 2026</w:t>
      </w:r>
    </w:p>
    <w:p>
      <w:pPr>
        <w:spacing w:after="120" w:before="0"/>
        <w:jc w:val="left"/>
      </w:pPr>
      <w:r>
        <w:rPr>
          <w:rFonts w:ascii="Arial" w:cs="Arial" w:eastAsia="Arial" w:hAnsi="Arial"/>
          <w:b w:val="false"/>
          <w:bCs w:val="false"/>
          <w:i w:val="false"/>
          <w:iCs w:val="false"/>
          <w:color w:val="5D6D7E"/>
          <w:sz w:val="18"/>
          <w:szCs w:val="18"/>
        </w:rPr>
        <w:t xml:space="preserve">Companion: V001_clinical_source_registry.sql (Database Migration)</w:t>
      </w:r>
    </w:p>
    <w:p>
      <w:pPr>
        <w:sectPr>
          <w:pgSz w:w="12240" w:h="15840" w:orient="portrait"/>
          <w:pgMar w:top="1080" w:right="1080" w:bottom="1080" w:left="1080" w:header="708" w:footer="708" w:gutter="0"/>
          <w:pgNumType/>
          <w:docGrid w:linePitch="360"/>
        </w:sectPr>
      </w:pPr>
    </w:p>
    <w:p>
      <w:pPr>
        <w:pStyle w:val="Heading1"/>
        <w:spacing w:before="300" w:after="130"/>
      </w:pPr>
      <w:r>
        <w:rPr>
          <w:rFonts w:ascii="Arial" w:cs="Arial" w:eastAsia="Arial" w:hAnsi="Arial"/>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30"/>
      </w:pPr>
      <w:r>
        <w:rPr>
          <w:rFonts w:ascii="Arial" w:cs="Arial" w:eastAsia="Arial" w:hAnsi="Arial"/>
        </w:rPr>
        <w:t xml:space="preserve">1. Introduction and Governing Principles</w:t>
      </w:r>
    </w:p>
    <w:p>
      <w:pPr>
        <w:spacing w:after="120" w:before="0"/>
        <w:jc w:val="left"/>
      </w:pPr>
      <w:r>
        <w:rPr>
          <w:rFonts w:ascii="Arial" w:cs="Arial" w:eastAsia="Arial" w:hAnsi="Arial"/>
          <w:b w:val="false"/>
          <w:bCs w:val="false"/>
          <w:i w:val="false"/>
          <w:iCs w:val="false"/>
          <w:color w:val="333333"/>
          <w:sz w:val="20"/>
          <w:szCs w:val="20"/>
        </w:rPr>
        <w:t xml:space="preserve">The Vaidshala Clinical Canon Framework specifies the multi-source derivation strategy for every Presentation Node in the KB-22 HPI Engine. This document serves three purposes: it establishes which clinical sources inform each Differential Tree, it documents what each source provides (and what it cannot provide), and it defines the governance boundary between authoring-time Canon sources and runtime clinical inference.</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4F72" w:sz="4"/>
              <w:left w:val="single" w:color="1B4F72" w:sz="1"/>
              <w:bottom w:val="single" w:color="1B4F72" w:sz="1"/>
              <w:right w:val="single" w:color="1B4F72" w:sz="1"/>
            </w:tcBorders>
            <w:shd w:fill="D6EAF8" w:val="clear"/>
            <w:tcMar>
              <w:top w:type="dxa" w:w="90"/>
              <w:left w:type="dxa" w:w="160"/>
              <w:bottom w:type="dxa" w:w="90"/>
              <w:right w:type="dxa" w:w="160"/>
            </w:tcMar>
          </w:tcPr>
          <w:p>
            <w:pPr>
              <w:spacing w:after="50"/>
            </w:pPr>
            <w:r>
              <w:rPr>
                <w:rFonts w:ascii="Arial" w:cs="Arial" w:eastAsia="Arial" w:hAnsi="Arial"/>
                <w:b/>
                <w:bCs/>
                <w:color w:val="1B4F72"/>
                <w:sz w:val="18"/>
                <w:szCs w:val="18"/>
              </w:rPr>
              <w:t xml:space="preserve">FOUNDATIONAL RULE</w:t>
            </w:r>
          </w:p>
          <w:p>
            <w:pPr>
              <w:spacing w:after="25"/>
              <w:ind w:left="160"/>
            </w:pPr>
            <w:r>
              <w:rPr>
                <w:rFonts w:ascii="Arial" w:cs="Arial" w:eastAsia="Arial" w:hAnsi="Arial"/>
                <w:color w:val="333333"/>
                <w:sz w:val="16"/>
                <w:szCs w:val="16"/>
              </w:rPr>
              <w:t xml:space="preserve">Clinical guidelines are AUTHORING-TIME INPUTS, not RUNTIME DEPENDENCIES.</w:t>
            </w:r>
          </w:p>
          <w:p>
            <w:pPr>
              <w:spacing w:after="25"/>
              <w:ind w:left="160"/>
            </w:pPr>
            <w:r>
              <w:rPr>
                <w:rFonts w:ascii="Arial" w:cs="Arial" w:eastAsia="Arial" w:hAnsi="Arial"/>
                <w:color w:val="333333"/>
                <w:sz w:val="16"/>
                <w:szCs w:val="16"/>
              </w:rPr>
              <w:t xml:space="preserve">Canon sources (BMJ, NICE, ADA, API-ICP, KDIGO, McGee) are reference material</w:t>
            </w:r>
          </w:p>
          <w:p>
            <w:pPr>
              <w:spacing w:after="25"/>
              <w:ind w:left="160"/>
            </w:pPr>
            <w:r>
              <w:rPr>
                <w:rFonts w:ascii="Arial" w:cs="Arial" w:eastAsia="Arial" w:hAnsi="Arial"/>
                <w:color w:val="333333"/>
                <w:sz w:val="16"/>
                <w:szCs w:val="16"/>
              </w:rPr>
              <w:t xml:space="preserve">consumed by clinicians during YAML authoring. Once encoded into version-controlled</w:t>
            </w:r>
          </w:p>
          <w:p>
            <w:pPr>
              <w:spacing w:after="25"/>
              <w:ind w:left="160"/>
            </w:pPr>
            <w:r>
              <w:rPr>
                <w:rFonts w:ascii="Arial" w:cs="Arial" w:eastAsia="Arial" w:hAnsi="Arial"/>
                <w:color w:val="333333"/>
                <w:sz w:val="16"/>
                <w:szCs w:val="16"/>
              </w:rPr>
              <w:t xml:space="preserve">Differential Trees, the system does NOT depend on those sources at runtime.</w:t>
            </w:r>
          </w:p>
          <w:p>
            <w:pPr>
              <w:spacing w:after="25"/>
              <w:ind w:left="160"/>
            </w:pPr>
            <w:r>
              <w:rPr>
                <w:rFonts w:ascii="Arial" w:cs="Arial" w:eastAsia="Arial" w:hAnsi="Arial"/>
                <w:color w:val="333333"/>
                <w:sz w:val="16"/>
                <w:szCs w:val="16"/>
              </w:rPr>
              <w:t xml:space="preserve">Runtime depends only on: frozen YAML + v3 KBs + Bayesian engine + patient state.</w:t>
            </w:r>
          </w:p>
          <w:p>
            <w:pPr>
              <w:spacing w:after="25"/>
              <w:ind w:left="160"/>
            </w:pPr>
            <w:r>
              <w:rPr>
                <w:rFonts w:ascii="Arial" w:cs="Arial" w:eastAsia="Arial" w:hAnsi="Arial"/>
                <w:color w:val="333333"/>
                <w:sz w:val="16"/>
                <w:szCs w:val="16"/>
              </w:rPr>
              <w:t xml:space="preserve">No PDFs. No web calls. No retrieval augmentation. Deterministic independence.</w:t>
            </w:r>
          </w:p>
        </w:tc>
      </w:tr>
    </w:tbl>
    <w:p>
      <w:pPr>
        <w:spacing w:after="40"/>
      </w:pPr>
    </w:p>
    <w:p>
      <w:pPr>
        <w:pStyle w:val="Heading2"/>
        <w:spacing w:before="240" w:after="110"/>
      </w:pPr>
      <w:r>
        <w:rPr>
          <w:rFonts w:ascii="Arial" w:cs="Arial" w:eastAsia="Arial" w:hAnsi="Arial"/>
        </w:rPr>
        <w:t xml:space="preserve">1.1 Canon Source Registry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600"/>
        <w:gridCol w:w="800"/>
        <w:gridCol w:w="500"/>
        <w:gridCol w:w="800"/>
        <w:gridCol w:w="5280"/>
      </w:tblGrid>
      <w:tr>
        <w:tc>
          <w:tcPr>
            <w:tcW w:type="dxa" w:w="13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Source</w:t>
            </w:r>
          </w:p>
        </w:tc>
        <w:tc>
          <w:tcPr>
            <w:tcW w:type="dxa" w:w="8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Type</w:t>
            </w:r>
          </w:p>
        </w:tc>
        <w:tc>
          <w:tcPr>
            <w:tcW w:type="dxa" w:w="6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Region</w:t>
            </w:r>
          </w:p>
        </w:tc>
        <w:tc>
          <w:tcPr>
            <w:tcW w:type="dxa" w:w="8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License</w:t>
            </w:r>
          </w:p>
        </w:tc>
        <w:tc>
          <w:tcPr>
            <w:tcW w:type="dxa" w:w="5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Runtime?</w:t>
            </w:r>
          </w:p>
        </w:tc>
        <w:tc>
          <w:tcPr>
            <w:tcW w:type="dxa" w:w="8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Update Cycle</w:t>
            </w:r>
          </w:p>
        </w:tc>
        <w:tc>
          <w:tcPr>
            <w:tcW w:type="dxa" w:w="52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What It Provides</w:t>
            </w:r>
          </w:p>
        </w:tc>
      </w:tr>
      <w:tr>
        <w:tc>
          <w:tcPr>
            <w:tcW w:type="dxa" w:w="13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2874A6"/>
                <w:sz w:val="16"/>
                <w:szCs w:val="16"/>
              </w:rPr>
              <w:t xml:space="preserve">BMJ Best Practice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Guideline</w:t>
            </w:r>
          </w:p>
        </w:tc>
        <w:tc>
          <w:tcPr>
            <w:tcW w:type="dxa" w:w="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UK</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Licensed</w:t>
            </w:r>
          </w:p>
        </w:tc>
        <w:tc>
          <w:tcPr>
            <w:tcW w:type="dxa" w:w="5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NO</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Continuous</w:t>
            </w:r>
          </w:p>
        </w:tc>
        <w:tc>
          <w:tcPr>
            <w:tcW w:type="dxa" w:w="52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Diagnostic pathway structure, differential skeleton, question sequencing, red flag framework</w:t>
            </w:r>
          </w:p>
        </w:tc>
      </w:tr>
      <w:tr>
        <w:tc>
          <w:tcPr>
            <w:tcW w:type="dxa" w:w="13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bCs/>
                <w:i w:val="false"/>
                <w:iCs w:val="false"/>
                <w:color w:val="1A5276"/>
                <w:sz w:val="16"/>
                <w:szCs w:val="16"/>
              </w:rPr>
              <w:t xml:space="preserve">NICE Pathways</w:t>
            </w:r>
          </w:p>
        </w:tc>
        <w:tc>
          <w:tcPr>
            <w:tcW w:type="dxa" w:w="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Guideline</w:t>
            </w:r>
          </w:p>
        </w:tc>
        <w:tc>
          <w:tcPr>
            <w:tcW w:type="dxa" w:w="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UK</w:t>
            </w:r>
          </w:p>
        </w:tc>
        <w:tc>
          <w:tcPr>
            <w:tcW w:type="dxa" w:w="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Public</w:t>
            </w:r>
          </w:p>
        </w:tc>
        <w:tc>
          <w:tcPr>
            <w:tcW w:type="dxa" w:w="5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NO</w:t>
            </w:r>
          </w:p>
        </w:tc>
        <w:tc>
          <w:tcPr>
            <w:tcW w:type="dxa" w:w="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Continuous</w:t>
            </w:r>
          </w:p>
        </w:tc>
        <w:tc>
          <w:tcPr>
            <w:tcW w:type="dxa" w:w="52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Triage red flag cross-validation, safety gate completeness, referral criteria</w:t>
            </w:r>
          </w:p>
        </w:tc>
      </w:tr>
      <w:tr>
        <w:tc>
          <w:tcPr>
            <w:tcW w:type="dxa" w:w="13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B7950B"/>
                <w:sz w:val="16"/>
                <w:szCs w:val="16"/>
              </w:rPr>
              <w:t xml:space="preserve">ADA Standards 2025</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Guideline</w:t>
            </w:r>
          </w:p>
        </w:tc>
        <w:tc>
          <w:tcPr>
            <w:tcW w:type="dxa" w:w="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US</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Subscription</w:t>
            </w:r>
          </w:p>
        </w:tc>
        <w:tc>
          <w:tcPr>
            <w:tcW w:type="dxa" w:w="5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NO</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Annual (Jan)</w:t>
            </w:r>
          </w:p>
        </w:tc>
        <w:tc>
          <w:tcPr>
            <w:tcW w:type="dxa" w:w="52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DM complications, hypoglycemia classification, medication ADR, glycemic targets</w:t>
            </w:r>
          </w:p>
        </w:tc>
      </w:tr>
      <w:tr>
        <w:tc>
          <w:tcPr>
            <w:tcW w:type="dxa" w:w="13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bCs/>
                <w:i w:val="false"/>
                <w:iCs w:val="false"/>
                <w:color w:val="922B21"/>
                <w:sz w:val="16"/>
                <w:szCs w:val="16"/>
              </w:rPr>
              <w:t xml:space="preserve">API-ICP 2024</w:t>
            </w:r>
          </w:p>
        </w:tc>
        <w:tc>
          <w:tcPr>
            <w:tcW w:type="dxa" w:w="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Guideline</w:t>
            </w:r>
          </w:p>
        </w:tc>
        <w:tc>
          <w:tcPr>
            <w:tcW w:type="dxa" w:w="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India</w:t>
            </w:r>
          </w:p>
        </w:tc>
        <w:tc>
          <w:tcPr>
            <w:tcW w:type="dxa" w:w="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Public</w:t>
            </w:r>
          </w:p>
        </w:tc>
        <w:tc>
          <w:tcPr>
            <w:tcW w:type="dxa" w:w="5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NO</w:t>
            </w:r>
          </w:p>
        </w:tc>
        <w:tc>
          <w:tcPr>
            <w:tcW w:type="dxa" w:w="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Every 3-5y</w:t>
            </w:r>
          </w:p>
        </w:tc>
        <w:tc>
          <w:tcPr>
            <w:tcW w:type="dxa" w:w="52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Indian drug combinations, ARB+CCB patterns, population-specific risk, dietary context</w:t>
            </w:r>
          </w:p>
        </w:tc>
      </w:tr>
      <w:tr>
        <w:tc>
          <w:tcPr>
            <w:tcW w:type="dxa" w:w="13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117864"/>
                <w:sz w:val="16"/>
                <w:szCs w:val="16"/>
              </w:rPr>
              <w:t xml:space="preserve">KDIGO 2024</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Guideline</w:t>
            </w:r>
          </w:p>
        </w:tc>
        <w:tc>
          <w:tcPr>
            <w:tcW w:type="dxa" w:w="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Global</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Public</w:t>
            </w:r>
          </w:p>
        </w:tc>
        <w:tc>
          <w:tcPr>
            <w:tcW w:type="dxa" w:w="5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NO</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Per-topic</w:t>
            </w:r>
          </w:p>
        </w:tc>
        <w:tc>
          <w:tcPr>
            <w:tcW w:type="dxa" w:w="52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CKD staging, eGFR thresholds, anemia in CKD, renal drug adjustments</w:t>
            </w:r>
          </w:p>
        </w:tc>
      </w:tr>
      <w:tr>
        <w:tc>
          <w:tcPr>
            <w:tcW w:type="dxa" w:w="13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bCs/>
                <w:i w:val="false"/>
                <w:iCs w:val="false"/>
                <w:color w:val="6C3483"/>
                <w:sz w:val="16"/>
                <w:szCs w:val="16"/>
              </w:rPr>
              <w:t xml:space="preserve">McGee / JAMA RCE</w:t>
            </w:r>
          </w:p>
        </w:tc>
        <w:tc>
          <w:tcPr>
            <w:tcW w:type="dxa" w:w="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Book/Journal</w:t>
            </w:r>
          </w:p>
        </w:tc>
        <w:tc>
          <w:tcPr>
            <w:tcW w:type="dxa" w:w="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Global</w:t>
            </w:r>
          </w:p>
        </w:tc>
        <w:tc>
          <w:tcPr>
            <w:tcW w:type="dxa" w:w="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Proprietary</w:t>
            </w:r>
          </w:p>
        </w:tc>
        <w:tc>
          <w:tcPr>
            <w:tcW w:type="dxa" w:w="5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NO</w:t>
            </w:r>
          </w:p>
        </w:tc>
        <w:tc>
          <w:tcPr>
            <w:tcW w:type="dxa" w:w="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5-10y / Ongoing</w:t>
            </w:r>
          </w:p>
        </w:tc>
        <w:tc>
          <w:tcPr>
            <w:tcW w:type="dxa" w:w="52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Published likelihood ratios for clinical findings, evidence-based discriminators</w:t>
            </w:r>
          </w:p>
        </w:tc>
      </w:tr>
      <w:tr>
        <w:tc>
          <w:tcPr>
            <w:tcW w:type="dxa" w:w="13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InSH 2023</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Position</w:t>
            </w:r>
          </w:p>
        </w:tc>
        <w:tc>
          <w:tcPr>
            <w:tcW w:type="dxa" w:w="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India</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Public</w:t>
            </w:r>
          </w:p>
        </w:tc>
        <w:tc>
          <w:tcPr>
            <w:tcW w:type="dxa" w:w="5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NO</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Every 3-5y</w:t>
            </w:r>
          </w:p>
        </w:tc>
        <w:tc>
          <w:tcPr>
            <w:tcW w:type="dxa" w:w="52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India-specific HTN prevalence, control rates, population data for Bayesian priors</w:t>
            </w:r>
          </w:p>
        </w:tc>
      </w:tr>
      <w:tr>
        <w:tc>
          <w:tcPr>
            <w:tcW w:type="dxa" w:w="13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bCs/>
                <w:i w:val="false"/>
                <w:iCs w:val="false"/>
                <w:color w:val="2E86C1"/>
                <w:sz w:val="16"/>
                <w:szCs w:val="16"/>
              </w:rPr>
              <w:t xml:space="preserve">v3 KBs (KB-1,4,5,7,8,16)</w:t>
            </w:r>
          </w:p>
        </w:tc>
        <w:tc>
          <w:tcPr>
            <w:tcW w:type="dxa" w:w="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Internal</w:t>
            </w:r>
          </w:p>
        </w:tc>
        <w:tc>
          <w:tcPr>
            <w:tcW w:type="dxa" w:w="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N/A</w:t>
            </w:r>
          </w:p>
        </w:tc>
        <w:tc>
          <w:tcPr>
            <w:tcW w:type="dxa" w:w="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Internal</w:t>
            </w:r>
          </w:p>
        </w:tc>
        <w:tc>
          <w:tcPr>
            <w:tcW w:type="dxa" w:w="5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YES</w:t>
            </w:r>
          </w:p>
        </w:tc>
        <w:tc>
          <w:tcPr>
            <w:tcW w:type="dxa" w:w="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Continuous</w:t>
            </w:r>
          </w:p>
        </w:tc>
        <w:tc>
          <w:tcPr>
            <w:tcW w:type="dxa" w:w="52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Drug rules, safety, interactions, terminology, calculators, lab interpretation</w:t>
            </w:r>
          </w:p>
        </w:tc>
      </w:tr>
    </w:tbl>
    <w:p>
      <w:pPr>
        <w:spacing w:after="40"/>
      </w:pPr>
    </w:p>
    <w:p>
      <w:pPr>
        <w:pStyle w:val="Heading2"/>
        <w:spacing w:before="240" w:after="110"/>
      </w:pPr>
      <w:r>
        <w:rPr>
          <w:rFonts w:ascii="Arial" w:cs="Arial" w:eastAsia="Arial" w:hAnsi="Arial"/>
        </w:rPr>
        <w:t xml:space="preserve">1.2 How Sources Enter the System</w:t>
      </w:r>
    </w:p>
    <w:p>
      <w:pPr>
        <w:spacing w:after="120" w:before="0"/>
        <w:jc w:val="left"/>
      </w:pPr>
      <w:r>
        <w:rPr>
          <w:rFonts w:ascii="Arial" w:cs="Arial" w:eastAsia="Arial" w:hAnsi="Arial"/>
          <w:b/>
          <w:bCs/>
          <w:sz w:val="20"/>
          <w:szCs w:val="20"/>
        </w:rPr>
        <w:t xml:space="preserve">Pathway A — Human Clinical Abstraction (Primary): </w:t>
      </w:r>
      <w:r>
        <w:rPr>
          <w:rFonts w:ascii="Arial" w:cs="Arial" w:eastAsia="Arial" w:hAnsi="Arial"/>
          <w:sz w:val="20"/>
          <w:szCs w:val="20"/>
        </w:rPr>
        <w:t xml:space="preserve">Clinical author (MD-level) reviews Canon sources, extracts clinical facts, structures, red flag lists, LR values, and encodes into YAML. Extracts reasoning structure, not copyrighted text. Legally clean, clinically sound.</w:t>
      </w:r>
    </w:p>
    <w:p>
      <w:pPr>
        <w:spacing w:after="120" w:before="0"/>
        <w:jc w:val="left"/>
      </w:pPr>
      <w:r>
        <w:rPr>
          <w:rFonts w:ascii="Arial" w:cs="Arial" w:eastAsia="Arial" w:hAnsi="Arial"/>
          <w:b/>
          <w:bCs/>
          <w:sz w:val="20"/>
          <w:szCs w:val="20"/>
        </w:rPr>
        <w:t xml:space="preserve">Pathway B — Literature LR Extraction: </w:t>
      </w:r>
      <w:r>
        <w:rPr>
          <w:rFonts w:ascii="Arial" w:cs="Arial" w:eastAsia="Arial" w:hAnsi="Arial"/>
          <w:sz w:val="20"/>
          <w:szCs w:val="20"/>
        </w:rPr>
        <w:t xml:space="preserve">For likelihood ratios: PubMed, JAMA RCE, McGee. Store LR value, citation, year, study population. Each LR tagged with confidence level (literature/consensus/estimated).</w:t>
      </w:r>
    </w:p>
    <w:p>
      <w:pPr>
        <w:spacing w:after="120" w:before="0"/>
        <w:jc w:val="left"/>
      </w:pPr>
      <w:r>
        <w:rPr>
          <w:rFonts w:ascii="Arial" w:cs="Arial" w:eastAsia="Arial" w:hAnsi="Arial"/>
          <w:b/>
          <w:bCs/>
          <w:sz w:val="20"/>
          <w:szCs w:val="20"/>
        </w:rPr>
        <w:t xml:space="preserve">Pathway C — Cohort Calibration (Post-Launch): </w:t>
      </w:r>
      <w:r>
        <w:rPr>
          <w:rFonts w:ascii="Arial" w:cs="Arial" w:eastAsia="Arial" w:hAnsi="Arial"/>
          <w:sz w:val="20"/>
          <w:szCs w:val="20"/>
        </w:rPr>
        <w:t xml:space="preserve">Population-specific data from real HPI interactions replaces estimated values with observed test characteristics. Clinician-governed, version-controlled. Produces the true competitive moat.</w:t>
      </w:r>
    </w:p>
    <w:p>
      <w:r>
        <w:br w:type="page"/>
      </w:r>
    </w:p>
    <w:p>
      <w:pPr>
        <w:pStyle w:val="Heading2"/>
        <w:spacing w:before="240" w:after="110"/>
      </w:pPr>
      <w:r>
        <w:rPr>
          <w:rFonts w:ascii="Arial" w:cs="Arial" w:eastAsia="Arial" w:hAnsi="Arial"/>
        </w:rPr>
        <w:t xml:space="preserve">1.3 Etiologic Archetype Coverage Requirement</w:t>
      </w:r>
    </w:p>
    <w:p>
      <w:pPr>
        <w:spacing w:after="120" w:before="0"/>
        <w:jc w:val="left"/>
      </w:pPr>
      <w:r>
        <w:rPr>
          <w:rFonts w:ascii="Arial" w:cs="Arial" w:eastAsia="Arial" w:hAnsi="Arial"/>
          <w:b w:val="false"/>
          <w:bCs w:val="false"/>
          <w:i w:val="false"/>
          <w:iCs w:val="false"/>
          <w:color w:val="333333"/>
          <w:sz w:val="20"/>
          <w:szCs w:val="20"/>
        </w:rPr>
        <w:t xml:space="preserve">Every Presentation Node must cover or explicitly exclude each archetype: Vascular, Metabolic, Medication, Structural, Functional, Iatrogenic, Psychiatric, Hematologic, Infectious, Cardiac. Exclusions require documented clinical rationale.</w:t>
      </w:r>
    </w:p>
    <w:p>
      <w:pPr>
        <w:spacing w:after="40"/>
      </w:pPr>
    </w:p>
    <w:p>
      <w:pPr>
        <w:pStyle w:val="Heading1"/>
        <w:spacing w:before="300" w:after="130"/>
      </w:pPr>
      <w:r>
        <w:rPr>
          <w:rFonts w:ascii="Arial" w:cs="Arial" w:eastAsia="Arial" w:hAnsi="Arial"/>
        </w:rPr>
        <w:t xml:space="preserve">2. Phase 4 Presentation Nodes — Multi-Source Canon Mapping</w:t>
      </w:r>
    </w:p>
    <w:p>
      <w:pPr>
        <w:spacing w:after="120" w:before="0"/>
        <w:jc w:val="left"/>
      </w:pPr>
      <w:r>
        <w:rPr>
          <w:rFonts w:ascii="Arial" w:cs="Arial" w:eastAsia="Arial" w:hAnsi="Arial"/>
          <w:b w:val="false"/>
          <w:bCs w:val="false"/>
          <w:i w:val="false"/>
          <w:iCs w:val="false"/>
          <w:color w:val="333333"/>
          <w:sz w:val="20"/>
          <w:szCs w:val="20"/>
        </w:rPr>
        <w:t xml:space="preserve">This section maps each of the 10 Phase 4 Presentation Nodes to their Canon source derivation. For each node: clinical scope, differential skeleton with archetype coverage, per-source contribution, source conflicts and resolution, and cohort-specific considerations that no Canon source addresses.</w:t>
      </w:r>
    </w:p>
    <w:p>
      <w:r>
        <w:br w:type="page"/>
      </w:r>
    </w:p>
    <w:p>
      <w:pPr>
        <w:pStyle w:val="Heading2"/>
        <w:spacing w:before="240" w:after="110"/>
      </w:pPr>
      <w:r>
        <w:rPr>
          <w:rFonts w:ascii="Arial" w:cs="Arial" w:eastAsia="Arial" w:hAnsi="Arial"/>
        </w:rPr>
        <w:t xml:space="preserve">2.1 P01: Dizziness / Chakkar Aana</w:t>
      </w:r>
    </w:p>
    <w:p>
      <w:pPr>
        <w:spacing w:after="120" w:before="0"/>
        <w:jc w:val="left"/>
      </w:pPr>
      <w:r>
        <w:rPr>
          <w:rFonts w:ascii="Arial" w:cs="Arial" w:eastAsia="Arial" w:hAnsi="Arial"/>
          <w:b/>
          <w:bCs/>
          <w:color w:val="B9770E"/>
          <w:sz w:val="20"/>
          <w:szCs w:val="20"/>
        </w:rPr>
        <w:t xml:space="preserve">Priority: HIGH</w:t>
      </w:r>
      <w:r>
        <w:rPr>
          <w:rFonts w:ascii="Arial" w:cs="Arial" w:eastAsia="Arial" w:hAnsi="Arial"/>
          <w:color w:val="5D6D7E"/>
          <w:sz w:val="20"/>
          <w:szCs w:val="20"/>
        </w:rPr>
        <w:t xml:space="preserve">  |  Category: Medication-entangled, multi-archetype</w:t>
      </w:r>
    </w:p>
    <w:p>
      <w:pPr>
        <w:spacing w:after="120" w:before="0"/>
        <w:jc w:val="left"/>
      </w:pPr>
      <w:r>
        <w:rPr>
          <w:rFonts w:ascii="Arial" w:cs="Arial" w:eastAsia="Arial" w:hAnsi="Arial"/>
          <w:b w:val="false"/>
          <w:bCs w:val="false"/>
          <w:i/>
          <w:iCs/>
          <w:color w:val="5D6D7E"/>
          <w:sz w:val="18"/>
          <w:szCs w:val="18"/>
        </w:rPr>
        <w:t xml:space="preserve">Broad symptom covering orthostatic hypotension, hypoglycemia-associated lightheadedness, vestibular disorders, TIA/stroke, cardiac arrhythmia, anemia, and dehydration in DM+HTN patients on polypharmacy.</w:t>
      </w:r>
    </w:p>
    <w:p>
      <w:pPr>
        <w:spacing w:after="40"/>
      </w:pPr>
    </w:p>
    <w:p>
      <w:pPr>
        <w:pStyle w:val="Heading3"/>
        <w:spacing w:before="180" w:after="90"/>
      </w:pPr>
      <w:r>
        <w:rPr>
          <w:rFonts w:ascii="Arial" w:cs="Arial" w:eastAsia="Arial" w:hAnsi="Arial"/>
        </w:rPr>
        <w:t xml:space="preserve">P01 Differential Skeleton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ID</w:t>
            </w:r>
          </w:p>
        </w:tc>
        <w:tc>
          <w:tcPr>
            <w:tcW w:type="dxa" w:w="88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Differential</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Orthostatic Hypotension (ARB/CCB/Diuretic)</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Hypoglycemia-associated</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Volume Depletion/Dehydration</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BPPV/Vestibular</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Anemia (CKD/Metformin-related)</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TIA/Stroke</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DX07</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Cardiac Arrhythmia</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DX08</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Medication-Interaction Synergistic Hypotension</w:t>
            </w:r>
          </w:p>
        </w:tc>
      </w:tr>
    </w:tbl>
    <w:p>
      <w:pPr>
        <w:spacing w:after="40"/>
      </w:pPr>
    </w:p>
    <w:p>
      <w:pPr>
        <w:pStyle w:val="Heading3"/>
        <w:spacing w:before="180" w:after="90"/>
      </w:pPr>
      <w:r>
        <w:rPr>
          <w:rFonts w:ascii="Arial" w:cs="Arial" w:eastAsia="Arial" w:hAnsi="Arial"/>
        </w:rPr>
        <w:t xml:space="preserve">P01 Archetype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Archetype</w:t>
            </w:r>
          </w:p>
        </w:tc>
        <w:tc>
          <w:tcPr>
            <w:tcW w:type="dxa" w:w="80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Coverage</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Vascular</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 TIA</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Metabolic</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 Hypoglycemia</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DX01,DX03,DX08</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Structural</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 Vestibular</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Functional</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Excluded (&lt;2% in cohort)</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Hematologic</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 Anemia</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Cardiac</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DX07 Arrhythmia</w:t>
            </w:r>
          </w:p>
        </w:tc>
      </w:tr>
    </w:tbl>
    <w:p>
      <w:pPr>
        <w:spacing w:after="40"/>
      </w:pPr>
    </w:p>
    <w:p>
      <w:pPr>
        <w:pStyle w:val="Heading3"/>
        <w:spacing w:before="180" w:after="90"/>
      </w:pPr>
      <w:r>
        <w:rPr>
          <w:rFonts w:ascii="Arial" w:cs="Arial" w:eastAsia="Arial" w:hAnsi="Arial"/>
        </w:rPr>
        <w:t xml:space="preserve">P01 Canon Source Contributions</w:t>
      </w:r>
    </w:p>
    <w:p>
      <w:pPr>
        <w:spacing w:after="80" w:before="0"/>
        <w:jc w:val="left"/>
      </w:pPr>
      <w:r>
        <w:rPr>
          <w:rFonts w:ascii="Arial" w:cs="Arial" w:eastAsia="Arial" w:hAnsi="Arial"/>
          <w:b/>
          <w:bCs/>
          <w:color w:val="2874A6"/>
          <w:sz w:val="19"/>
          <w:szCs w:val="19"/>
        </w:rPr>
        <w:t xml:space="preserve">BMJ</w:t>
      </w:r>
      <w:r>
        <w:rPr>
          <w:rFonts w:ascii="Arial" w:cs="Arial" w:eastAsia="Arial" w:hAnsi="Arial"/>
          <w:color w:val="444444"/>
          <w:sz w:val="18"/>
          <w:szCs w:val="18"/>
        </w:rPr>
        <w:t xml:space="preserve"> — Diagnostic pathway structure for approach to dizziness. Differential skeleton: BPPV, orthostatic, TIA, arrhythmia, anemia retained. Red flag framework: focal deficit, sudden headache, LOC, chest pain. Question sequencing: postural pattern first, then temporal, then associated symptoms.</w:t>
      </w:r>
    </w:p>
    <w:p>
      <w:pPr>
        <w:spacing w:after="80" w:before="0"/>
        <w:jc w:val="left"/>
      </w:pPr>
      <w:r>
        <w:rPr>
          <w:rFonts w:ascii="Arial" w:cs="Arial" w:eastAsia="Arial" w:hAnsi="Arial"/>
          <w:b/>
          <w:bCs/>
          <w:color w:val="1A5276"/>
          <w:sz w:val="19"/>
          <w:szCs w:val="19"/>
        </w:rPr>
        <w:t xml:space="preserve">NICE</w:t>
      </w:r>
      <w:r>
        <w:rPr>
          <w:rFonts w:ascii="Arial" w:cs="Arial" w:eastAsia="Arial" w:hAnsi="Arial"/>
          <w:color w:val="444444"/>
          <w:sz w:val="18"/>
          <w:szCs w:val="18"/>
        </w:rPr>
        <w:t xml:space="preserve"> — Stroke pathway cross-validation for Red Flag Sweep. Confirms focal neurological deficit, sudden severe headache, and acute-onset vertigo with gait instability as mandatory red flags. Adds: new-onset ataxia. Triage logic for 999/ER vs GP referral adapted to HARD_STOP vs physician escalation.</w:t>
      </w:r>
    </w:p>
    <w:p>
      <w:pPr>
        <w:spacing w:after="80" w:before="0"/>
        <w:jc w:val="left"/>
      </w:pPr>
      <w:r>
        <w:rPr>
          <w:rFonts w:ascii="Arial" w:cs="Arial" w:eastAsia="Arial" w:hAnsi="Arial"/>
          <w:b/>
          <w:bCs/>
          <w:color w:val="B7950B"/>
          <w:sz w:val="19"/>
          <w:szCs w:val="19"/>
        </w:rPr>
        <w:t xml:space="preserve">ADA</w:t>
      </w:r>
      <w:r>
        <w:rPr>
          <w:rFonts w:ascii="Arial" w:cs="Arial" w:eastAsia="Arial" w:hAnsi="Arial"/>
          <w:color w:val="444444"/>
          <w:sz w:val="18"/>
          <w:szCs w:val="18"/>
        </w:rPr>
        <w:t xml:space="preserve"> — Hypoglycemia classification (Level 1: 54-70 mg/dL, Level 2: &lt;54, Level 3: altered consciousness). Informs DX02 differential and HARD_STOP thresholds. SGLT2i-associated volume depletion risk informs DX03. Diabetic autonomic neuropathy as cause of orthostatic hypotension adds to DX01 context.</w:t>
      </w:r>
    </w:p>
    <w:p>
      <w:pPr>
        <w:spacing w:after="80" w:before="0"/>
        <w:jc w:val="left"/>
      </w:pPr>
      <w:r>
        <w:rPr>
          <w:rFonts w:ascii="Arial" w:cs="Arial" w:eastAsia="Arial" w:hAnsi="Arial"/>
          <w:b/>
          <w:bCs/>
          <w:color w:val="922B21"/>
          <w:sz w:val="19"/>
          <w:szCs w:val="19"/>
        </w:rPr>
        <w:t xml:space="preserve">API-ICP</w:t>
      </w:r>
      <w:r>
        <w:rPr>
          <w:rFonts w:ascii="Arial" w:cs="Arial" w:eastAsia="Arial" w:hAnsi="Arial"/>
          <w:color w:val="444444"/>
          <w:sz w:val="18"/>
          <w:szCs w:val="18"/>
        </w:rPr>
        <w:t xml:space="preserve"> — ARB + CCB (cilnidipine) combination effects on orthostatic symptoms. First-line dual therapy for HTN in T2DM creates high prevalence of orthostatic symptoms in first 4-6 weeks. Context modifier: ARB initiation &lt;90 days adds +0.20 to DX01. Indian drug response patterns for telmisartan, amlodipine, cilnidipine.</w:t>
      </w:r>
    </w:p>
    <w:p>
      <w:pPr>
        <w:spacing w:after="80" w:before="0"/>
        <w:jc w:val="left"/>
      </w:pPr>
      <w:r>
        <w:rPr>
          <w:rFonts w:ascii="Arial" w:cs="Arial" w:eastAsia="Arial" w:hAnsi="Arial"/>
          <w:b/>
          <w:bCs/>
          <w:color w:val="117864"/>
          <w:sz w:val="19"/>
          <w:szCs w:val="19"/>
        </w:rPr>
        <w:t xml:space="preserve">KDIGO</w:t>
      </w:r>
      <w:r>
        <w:rPr>
          <w:rFonts w:ascii="Arial" w:cs="Arial" w:eastAsia="Arial" w:hAnsi="Arial"/>
          <w:color w:val="444444"/>
          <w:sz w:val="18"/>
          <w:szCs w:val="18"/>
        </w:rPr>
        <w:t xml:space="preserve"> — CKD-associated anemia context. eGFR &lt;45 increases prior for DX05 anemia. Renal contribution to orthostatic hypotension via volume dysregulation. Informs context modifier: if eGFR &lt;45, add +0.15 to DX05.</w:t>
      </w:r>
    </w:p>
    <w:p>
      <w:pPr>
        <w:spacing w:after="80" w:before="0"/>
        <w:jc w:val="left"/>
      </w:pPr>
      <w:r>
        <w:rPr>
          <w:rFonts w:ascii="Arial" w:cs="Arial" w:eastAsia="Arial" w:hAnsi="Arial"/>
          <w:b/>
          <w:bCs/>
          <w:color w:val="6C3483"/>
          <w:sz w:val="19"/>
          <w:szCs w:val="19"/>
        </w:rPr>
        <w:t xml:space="preserve">McGee</w:t>
      </w:r>
      <w:r>
        <w:rPr>
          <w:rFonts w:ascii="Arial" w:cs="Arial" w:eastAsia="Arial" w:hAnsi="Arial"/>
          <w:color w:val="444444"/>
          <w:sz w:val="18"/>
          <w:szCs w:val="18"/>
        </w:rPr>
        <w:t xml:space="preserve"> — Published LRs: Postural dizziness LR+ 3.2 for orthostatic hypotension. Focal neurological deficit LR+ 8.0 for central cause (TIA/stroke). Nystagmus pattern LR+ 4.5 for vestibular origin. Carotid bruit LR+ 2.0 (not applicable in WhatsApp — excluded). Note: LRs derived from physician-observed findings; attenuation needed for patient-reported equivalents.</w:t>
      </w:r>
    </w:p>
    <w:p>
      <w:pPr>
        <w:spacing w:after="40"/>
      </w:pPr>
    </w:p>
    <w:p>
      <w:pPr>
        <w:pStyle w:val="Heading3"/>
        <w:spacing w:before="180" w:after="90"/>
      </w:pPr>
      <w:r>
        <w:rPr>
          <w:rFonts w:ascii="Arial" w:cs="Arial" w:eastAsia="Arial" w:hAnsi="Arial"/>
        </w:rPr>
        <w:t xml:space="preserve">P01 Source Conflicts and Resolution</w:t>
      </w:r>
    </w:p>
    <w:p>
      <w:pPr>
        <w:spacing w:after="120" w:before="0"/>
        <w:jc w:val="left"/>
      </w:pPr>
      <w:r>
        <w:rPr>
          <w:rFonts w:ascii="Arial" w:cs="Arial" w:eastAsia="Arial" w:hAnsi="Arial"/>
          <w:b w:val="false"/>
          <w:bCs w:val="false"/>
          <w:i w:val="false"/>
          <w:iCs w:val="false"/>
          <w:color w:val="333333"/>
          <w:sz w:val="18"/>
          <w:szCs w:val="18"/>
        </w:rPr>
        <w:t xml:space="preserve">McGee LRs derived from clinical examination settings; patient self-report via WhatsApp requires attenuation. API-ICP emphasizes cilnidipine-specific orthostatic effects not covered in BMJ/McGee Western literature.</w:t>
      </w:r>
    </w:p>
    <w:p>
      <w:pPr>
        <w:spacing w:after="40"/>
      </w:pPr>
    </w:p>
    <w:p>
      <w:pPr>
        <w:pStyle w:val="Heading3"/>
        <w:spacing w:before="180" w:after="90"/>
      </w:pPr>
      <w:r>
        <w:rPr>
          <w:rFonts w:ascii="Arial" w:cs="Arial" w:eastAsia="Arial" w:hAnsi="Arial"/>
        </w:rPr>
        <w:t xml:space="preserve">P01 Cohort-Specific Considerations (Not in Canon)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770E" w:sz="4"/>
              <w:left w:val="single" w:color="B9770E" w:sz="1"/>
              <w:bottom w:val="single" w:color="B9770E" w:sz="1"/>
              <w:right w:val="single" w:color="B9770E" w:sz="1"/>
            </w:tcBorders>
            <w:shd w:fill="FDEBD0" w:val="clear"/>
            <w:tcMar>
              <w:top w:type="dxa" w:w="90"/>
              <w:left w:type="dxa" w:w="160"/>
              <w:bottom w:type="dxa" w:w="90"/>
              <w:right w:type="dxa" w:w="160"/>
            </w:tcMar>
          </w:tcPr>
          <w:p>
            <w:pPr>
              <w:spacing w:after="50"/>
            </w:pPr>
            <w:r>
              <w:rPr>
                <w:rFonts w:ascii="Arial" w:cs="Arial" w:eastAsia="Arial" w:hAnsi="Arial"/>
                <w:b/>
                <w:bCs/>
                <w:color w:val="B9770E"/>
                <w:sz w:val="18"/>
                <w:szCs w:val="18"/>
              </w:rPr>
              <w:t xml:space="preserve">POPULATION-SPECIFIC FACTORS</w:t>
            </w:r>
          </w:p>
          <w:p>
            <w:pPr>
              <w:spacing w:after="25"/>
              <w:ind w:left="160"/>
            </w:pPr>
            <w:r>
              <w:rPr>
                <w:rFonts w:ascii="Arial" w:cs="Arial" w:eastAsia="Arial" w:hAnsi="Arial"/>
                <w:color w:val="333333"/>
                <w:sz w:val="16"/>
                <w:szCs w:val="16"/>
              </w:rPr>
              <w:t xml:space="preserve">High medication density (3-4 drugs) makes medication-related differentials (DX01, DX03, DX08)</w:t>
            </w:r>
          </w:p>
          <w:p>
            <w:pPr>
              <w:spacing w:after="25"/>
              <w:ind w:left="160"/>
            </w:pPr>
            <w:r>
              <w:rPr>
                <w:rFonts w:ascii="Arial" w:cs="Arial" w:eastAsia="Arial" w:hAnsi="Arial"/>
                <w:color w:val="333333"/>
                <w:sz w:val="16"/>
                <w:szCs w:val="16"/>
              </w:rPr>
              <w:t xml:space="preserve">much more prevalent than BMJ's general population estimates. Context modifiers for recent drug</w:t>
            </w:r>
          </w:p>
          <w:p>
            <w:pPr>
              <w:spacing w:after="25"/>
              <w:ind w:left="160"/>
            </w:pPr>
            <w:r>
              <w:rPr>
                <w:rFonts w:ascii="Arial" w:cs="Arial" w:eastAsia="Arial" w:hAnsi="Arial"/>
                <w:color w:val="333333"/>
                <w:sz w:val="16"/>
                <w:szCs w:val="16"/>
              </w:rPr>
              <w:t xml:space="preserve">starts are critical. Expected high 'Pata nahi' rate for vertigo-vs-lightheadedness distinction</w:t>
            </w:r>
          </w:p>
          <w:p>
            <w:pPr>
              <w:spacing w:after="25"/>
              <w:ind w:left="160"/>
            </w:pPr>
            <w:r>
              <w:rPr>
                <w:rFonts w:ascii="Arial" w:cs="Arial" w:eastAsia="Arial" w:hAnsi="Arial"/>
                <w:color w:val="333333"/>
                <w:sz w:val="16"/>
                <w:szCs w:val="16"/>
              </w:rPr>
              <w:t xml:space="preserve">(Q03).</w:t>
            </w:r>
          </w:p>
        </w:tc>
      </w:tr>
    </w:tbl>
    <w:p>
      <w:pPr>
        <w:spacing w:after="40"/>
      </w:pPr>
    </w:p>
    <w:p>
      <w:r>
        <w:br w:type="page"/>
      </w:r>
    </w:p>
    <w:p>
      <w:pPr>
        <w:pStyle w:val="Heading2"/>
        <w:spacing w:before="240" w:after="110"/>
      </w:pPr>
      <w:r>
        <w:rPr>
          <w:rFonts w:ascii="Arial" w:cs="Arial" w:eastAsia="Arial" w:hAnsi="Arial"/>
        </w:rPr>
        <w:t xml:space="preserve">2.2 P02: Hypoglycemia Symptoms / Sugar Girna</w:t>
      </w:r>
    </w:p>
    <w:p>
      <w:pPr>
        <w:spacing w:after="120" w:before="0"/>
        <w:jc w:val="left"/>
      </w:pPr>
      <w:r>
        <w:rPr>
          <w:rFonts w:ascii="Arial" w:cs="Arial" w:eastAsia="Arial" w:hAnsi="Arial"/>
          <w:b/>
          <w:bCs/>
          <w:color w:val="C0392B"/>
          <w:sz w:val="20"/>
          <w:szCs w:val="20"/>
        </w:rPr>
        <w:t xml:space="preserve">Priority: CRITICAL</w:t>
      </w:r>
      <w:r>
        <w:rPr>
          <w:rFonts w:ascii="Arial" w:cs="Arial" w:eastAsia="Arial" w:hAnsi="Arial"/>
          <w:color w:val="5D6D7E"/>
          <w:sz w:val="20"/>
          <w:szCs w:val="20"/>
        </w:rPr>
        <w:t xml:space="preserve">  |  Category: Safety-critical, medication-driven</w:t>
      </w:r>
    </w:p>
    <w:p>
      <w:pPr>
        <w:spacing w:after="120" w:before="0"/>
        <w:jc w:val="left"/>
      </w:pPr>
      <w:r>
        <w:rPr>
          <w:rFonts w:ascii="Arial" w:cs="Arial" w:eastAsia="Arial" w:hAnsi="Arial"/>
          <w:b w:val="false"/>
          <w:bCs w:val="false"/>
          <w:i/>
          <w:iCs/>
          <w:color w:val="5D6D7E"/>
          <w:sz w:val="18"/>
          <w:szCs w:val="18"/>
        </w:rPr>
        <w:t xml:space="preserve">Symptoms suggestive of hypoglycemia: tremor, sweating, palpitations, confusion, hunger, weakness. Most safety-critical node due to immediate life threat. Sulfonylurea and insulin use in DM+HTN cohort creates high baseline risk.</w:t>
      </w:r>
    </w:p>
    <w:p>
      <w:pPr>
        <w:spacing w:after="40"/>
      </w:pPr>
    </w:p>
    <w:p>
      <w:pPr>
        <w:pStyle w:val="Heading3"/>
        <w:spacing w:before="180" w:after="90"/>
      </w:pPr>
      <w:r>
        <w:rPr>
          <w:rFonts w:ascii="Arial" w:cs="Arial" w:eastAsia="Arial" w:hAnsi="Arial"/>
        </w:rPr>
        <w:t xml:space="preserve">P02 Differential Skeleton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ID</w:t>
            </w:r>
          </w:p>
        </w:tc>
        <w:tc>
          <w:tcPr>
            <w:tcW w:type="dxa" w:w="88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Differential</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True Hypoglycemia (SU/Insulin-induced)</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Relative Hypoglycemia (rapid drop)</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Reactive Hypoglycemia (postprandial)</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Anxiety/Panic (adrenergic mimicry)</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Cardiac Arrhythmia</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Orthostatic Episode</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DX07</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 Side Effect (non-SU)</w:t>
            </w:r>
          </w:p>
        </w:tc>
      </w:tr>
    </w:tbl>
    <w:p>
      <w:pPr>
        <w:spacing w:after="40"/>
      </w:pPr>
    </w:p>
    <w:p>
      <w:pPr>
        <w:pStyle w:val="Heading3"/>
        <w:spacing w:before="180" w:after="90"/>
      </w:pPr>
      <w:r>
        <w:rPr>
          <w:rFonts w:ascii="Arial" w:cs="Arial" w:eastAsia="Arial" w:hAnsi="Arial"/>
        </w:rPr>
        <w:t xml:space="preserve">P02 Archetype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Archetype</w:t>
            </w:r>
          </w:p>
        </w:tc>
        <w:tc>
          <w:tcPr>
            <w:tcW w:type="dxa" w:w="80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Coverage</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Metabolic</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DX01,DX02,DX03</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DX01,DX07</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Psychiatric</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 Anxiety</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Cardiac</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Vascular</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 Orthostatic</w:t>
            </w:r>
          </w:p>
        </w:tc>
      </w:tr>
    </w:tbl>
    <w:p>
      <w:pPr>
        <w:spacing w:after="40"/>
      </w:pPr>
    </w:p>
    <w:p>
      <w:pPr>
        <w:pStyle w:val="Heading3"/>
        <w:spacing w:before="180" w:after="90"/>
      </w:pPr>
      <w:r>
        <w:rPr>
          <w:rFonts w:ascii="Arial" w:cs="Arial" w:eastAsia="Arial" w:hAnsi="Arial"/>
        </w:rPr>
        <w:t xml:space="preserve">P02 Canon Source Contributions</w:t>
      </w:r>
    </w:p>
    <w:p>
      <w:pPr>
        <w:spacing w:after="80" w:before="0"/>
        <w:jc w:val="left"/>
      </w:pPr>
      <w:r>
        <w:rPr>
          <w:rFonts w:ascii="Arial" w:cs="Arial" w:eastAsia="Arial" w:hAnsi="Arial"/>
          <w:b/>
          <w:bCs/>
          <w:color w:val="2874A6"/>
          <w:sz w:val="19"/>
          <w:szCs w:val="19"/>
        </w:rPr>
        <w:t xml:space="preserve">BMJ</w:t>
      </w:r>
      <w:r>
        <w:rPr>
          <w:rFonts w:ascii="Arial" w:cs="Arial" w:eastAsia="Arial" w:hAnsi="Arial"/>
          <w:color w:val="444444"/>
          <w:sz w:val="18"/>
          <w:szCs w:val="18"/>
        </w:rPr>
        <w:t xml:space="preserve"> — Approach to hypoglycemia differential. Whipple's triad structure (symptoms + low glucose + resolution with glucose). Differential between true, relative, and reactive hypoglycemia. Red flags: altered consciousness, seizure, inability to self-treat.</w:t>
      </w:r>
    </w:p>
    <w:p>
      <w:pPr>
        <w:spacing w:after="80" w:before="0"/>
        <w:jc w:val="left"/>
      </w:pPr>
      <w:r>
        <w:rPr>
          <w:rFonts w:ascii="Arial" w:cs="Arial" w:eastAsia="Arial" w:hAnsi="Arial"/>
          <w:b/>
          <w:bCs/>
          <w:color w:val="1A5276"/>
          <w:sz w:val="19"/>
          <w:szCs w:val="19"/>
        </w:rPr>
        <w:t xml:space="preserve">NICE</w:t>
      </w:r>
      <w:r>
        <w:rPr>
          <w:rFonts w:ascii="Arial" w:cs="Arial" w:eastAsia="Arial" w:hAnsi="Arial"/>
          <w:color w:val="444444"/>
          <w:sz w:val="18"/>
          <w:szCs w:val="18"/>
        </w:rPr>
        <w:t xml:space="preserve"> — Hypoglycemia management pathway. Confirms Level 2 (&lt;54 mg/dL) and Level 3 (altered consciousness) as emergency thresholds. Immediate management protocol: 15-20g fast-acting carbohydrate, recheck at 15 minutes. Informs HARD_STOP safety guidance in Hindi.</w:t>
      </w:r>
    </w:p>
    <w:p>
      <w:pPr>
        <w:spacing w:after="80" w:before="0"/>
        <w:jc w:val="left"/>
      </w:pPr>
      <w:r>
        <w:rPr>
          <w:rFonts w:ascii="Arial" w:cs="Arial" w:eastAsia="Arial" w:hAnsi="Arial"/>
          <w:b/>
          <w:bCs/>
          <w:color w:val="B7950B"/>
          <w:sz w:val="19"/>
          <w:szCs w:val="19"/>
        </w:rPr>
        <w:t xml:space="preserve">ADA</w:t>
      </w:r>
      <w:r>
        <w:rPr>
          <w:rFonts w:ascii="Arial" w:cs="Arial" w:eastAsia="Arial" w:hAnsi="Arial"/>
          <w:color w:val="444444"/>
          <w:sz w:val="18"/>
          <w:szCs w:val="18"/>
        </w:rPr>
        <w:t xml:space="preserve"> — PRIMARY source for this node. Hypoglycemia classification (Levels 1-3). Risk factors: sulfonylurea, insulin, renal impairment, missed meals, exercise. Glycemic targets by age/comorbidity. Medication-specific hypoglycemia risk: SU &gt;&gt; SGLT2i &gt; Metformin (alone, near zero). Informs base priors: patient on SU starts with DX01 prior of 0.35.</w:t>
      </w:r>
    </w:p>
    <w:p>
      <w:pPr>
        <w:spacing w:after="80" w:before="0"/>
        <w:jc w:val="left"/>
      </w:pPr>
      <w:r>
        <w:rPr>
          <w:rFonts w:ascii="Arial" w:cs="Arial" w:eastAsia="Arial" w:hAnsi="Arial"/>
          <w:b/>
          <w:bCs/>
          <w:color w:val="922B21"/>
          <w:sz w:val="19"/>
          <w:szCs w:val="19"/>
        </w:rPr>
        <w:t xml:space="preserve">API-ICP</w:t>
      </w:r>
      <w:r>
        <w:rPr>
          <w:rFonts w:ascii="Arial" w:cs="Arial" w:eastAsia="Arial" w:hAnsi="Arial"/>
          <w:color w:val="444444"/>
          <w:sz w:val="18"/>
          <w:szCs w:val="18"/>
        </w:rPr>
        <w:t xml:space="preserve"> — Indian dietary patterns affecting hypoglycemia risk. High-carb diet (rice-heavy) followed by long fasting intervals creates reactive hypoglycemia risk. Ramadan fasting considerations for Muslim DM patients. Indian SU prescribing patterns (glimepiride preferred over gliclazide) with different hypoglycemia profiles. Informs Q02 (meal relation) LR calibration.</w:t>
      </w:r>
    </w:p>
    <w:p>
      <w:pPr>
        <w:spacing w:after="80" w:before="0"/>
        <w:jc w:val="left"/>
      </w:pPr>
      <w:r>
        <w:rPr>
          <w:rFonts w:ascii="Arial" w:cs="Arial" w:eastAsia="Arial" w:hAnsi="Arial"/>
          <w:b/>
          <w:bCs/>
          <w:color w:val="6C3483"/>
          <w:sz w:val="19"/>
          <w:szCs w:val="19"/>
        </w:rPr>
        <w:t xml:space="preserve">McGee</w:t>
      </w:r>
      <w:r>
        <w:rPr>
          <w:rFonts w:ascii="Arial" w:cs="Arial" w:eastAsia="Arial" w:hAnsi="Arial"/>
          <w:color w:val="444444"/>
          <w:sz w:val="18"/>
          <w:szCs w:val="18"/>
        </w:rPr>
        <w:t xml:space="preserve"> — LRs for adrenergic symptoms: Tremor/sweating/hunger LR+ 2.8 for true hypoglycemia vs anxiety. Confusion/altered behavior LR+ 5.2 for neuroglycopenia. Symptom resolution with glucose intake LR+ 4.0 (Whipple's triad confirmation).</w:t>
      </w:r>
    </w:p>
    <w:p>
      <w:pPr>
        <w:spacing w:after="40"/>
      </w:pPr>
    </w:p>
    <w:p>
      <w:pPr>
        <w:pStyle w:val="Heading3"/>
        <w:spacing w:before="180" w:after="90"/>
      </w:pPr>
      <w:r>
        <w:rPr>
          <w:rFonts w:ascii="Arial" w:cs="Arial" w:eastAsia="Arial" w:hAnsi="Arial"/>
        </w:rPr>
        <w:t xml:space="preserve">P02 Source Conflicts and Resolution</w:t>
      </w:r>
    </w:p>
    <w:p>
      <w:pPr>
        <w:spacing w:after="120" w:before="0"/>
        <w:jc w:val="left"/>
      </w:pPr>
      <w:r>
        <w:rPr>
          <w:rFonts w:ascii="Arial" w:cs="Arial" w:eastAsia="Arial" w:hAnsi="Arial"/>
          <w:b w:val="false"/>
          <w:bCs w:val="false"/>
          <w:i w:val="false"/>
          <w:iCs w:val="false"/>
          <w:color w:val="333333"/>
          <w:sz w:val="18"/>
          <w:szCs w:val="18"/>
        </w:rPr>
        <w:t xml:space="preserve">ADA targets may differ from API-ICP targets for elderly patients (ADA recommends relaxed targets &lt;8.0% for complex patients; API-ICP sometimes targets &lt;7.0% even in elderly). Resolution: adopt ADA's risk-stratified approach for HARD_STOP thresholds, API-ICP dietary context for reactive hypoglycemia risk.</w:t>
      </w:r>
    </w:p>
    <w:p>
      <w:pPr>
        <w:spacing w:after="40"/>
      </w:pPr>
    </w:p>
    <w:p>
      <w:pPr>
        <w:pStyle w:val="Heading3"/>
        <w:spacing w:before="180" w:after="90"/>
      </w:pPr>
      <w:r>
        <w:rPr>
          <w:rFonts w:ascii="Arial" w:cs="Arial" w:eastAsia="Arial" w:hAnsi="Arial"/>
        </w:rPr>
        <w:t xml:space="preserve">P02 Cohort-Specific Considerations (Not in Canon)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770E" w:sz="4"/>
              <w:left w:val="single" w:color="B9770E" w:sz="1"/>
              <w:bottom w:val="single" w:color="B9770E" w:sz="1"/>
              <w:right w:val="single" w:color="B9770E" w:sz="1"/>
            </w:tcBorders>
            <w:shd w:fill="FDEBD0" w:val="clear"/>
            <w:tcMar>
              <w:top w:type="dxa" w:w="90"/>
              <w:left w:type="dxa" w:w="160"/>
              <w:bottom w:type="dxa" w:w="90"/>
              <w:right w:type="dxa" w:w="160"/>
            </w:tcMar>
          </w:tcPr>
          <w:p>
            <w:pPr>
              <w:spacing w:after="50"/>
            </w:pPr>
            <w:r>
              <w:rPr>
                <w:rFonts w:ascii="Arial" w:cs="Arial" w:eastAsia="Arial" w:hAnsi="Arial"/>
                <w:b/>
                <w:bCs/>
                <w:color w:val="B9770E"/>
                <w:sz w:val="18"/>
                <w:szCs w:val="18"/>
              </w:rPr>
              <w:t xml:space="preserve">POPULATION-SPECIFIC FACTORS</w:t>
            </w:r>
          </w:p>
          <w:p>
            <w:pPr>
              <w:spacing w:after="25"/>
              <w:ind w:left="160"/>
            </w:pPr>
            <w:r>
              <w:rPr>
                <w:rFonts w:ascii="Arial" w:cs="Arial" w:eastAsia="Arial" w:hAnsi="Arial"/>
                <w:color w:val="333333"/>
                <w:sz w:val="16"/>
                <w:szCs w:val="16"/>
              </w:rPr>
              <w:t xml:space="preserve">Indian dietary patterns (rice-heavy evening meal, long overnight fast) create unique reactive</w:t>
            </w:r>
          </w:p>
          <w:p>
            <w:pPr>
              <w:spacing w:after="25"/>
              <w:ind w:left="160"/>
            </w:pPr>
            <w:r>
              <w:rPr>
                <w:rFonts w:ascii="Arial" w:cs="Arial" w:eastAsia="Arial" w:hAnsi="Arial"/>
                <w:color w:val="333333"/>
                <w:sz w:val="16"/>
                <w:szCs w:val="16"/>
              </w:rPr>
              <w:t xml:space="preserve">hypoglycemia timing. SU use is extremely common in Indian T2DM practice. Expected high DX01</w:t>
            </w:r>
          </w:p>
          <w:p>
            <w:pPr>
              <w:spacing w:after="25"/>
              <w:ind w:left="160"/>
            </w:pPr>
            <w:r>
              <w:rPr>
                <w:rFonts w:ascii="Arial" w:cs="Arial" w:eastAsia="Arial" w:hAnsi="Arial"/>
                <w:color w:val="333333"/>
                <w:sz w:val="16"/>
                <w:szCs w:val="16"/>
              </w:rPr>
              <w:t xml:space="preserve">prevalence. Q02 (meal relation) is more discriminating in this cohort than Western populations</w:t>
            </w:r>
          </w:p>
          <w:p>
            <w:pPr>
              <w:spacing w:after="25"/>
              <w:ind w:left="160"/>
            </w:pPr>
            <w:r>
              <w:rPr>
                <w:rFonts w:ascii="Arial" w:cs="Arial" w:eastAsia="Arial" w:hAnsi="Arial"/>
                <w:color w:val="333333"/>
                <w:sz w:val="16"/>
                <w:szCs w:val="16"/>
              </w:rPr>
              <w:t xml:space="preserve">due to dietary patterns.</w:t>
            </w:r>
          </w:p>
        </w:tc>
      </w:tr>
    </w:tbl>
    <w:p>
      <w:pPr>
        <w:spacing w:after="40"/>
      </w:pPr>
    </w:p>
    <w:p>
      <w:r>
        <w:br w:type="page"/>
      </w:r>
    </w:p>
    <w:p>
      <w:pPr>
        <w:pStyle w:val="Heading2"/>
        <w:spacing w:before="240" w:after="110"/>
      </w:pPr>
      <w:r>
        <w:rPr>
          <w:rFonts w:ascii="Arial" w:cs="Arial" w:eastAsia="Arial" w:hAnsi="Arial"/>
        </w:rPr>
        <w:t xml:space="preserve">2.3 P03: Edema / Sujan / Paon Mein Sujan</w:t>
      </w:r>
    </w:p>
    <w:p>
      <w:pPr>
        <w:spacing w:after="120" w:before="0"/>
        <w:jc w:val="left"/>
      </w:pPr>
      <w:r>
        <w:rPr>
          <w:rFonts w:ascii="Arial" w:cs="Arial" w:eastAsia="Arial" w:hAnsi="Arial"/>
          <w:b/>
          <w:bCs/>
          <w:color w:val="B9770E"/>
          <w:sz w:val="20"/>
          <w:szCs w:val="20"/>
        </w:rPr>
        <w:t xml:space="preserve">Priority: HIGH</w:t>
      </w:r>
      <w:r>
        <w:rPr>
          <w:rFonts w:ascii="Arial" w:cs="Arial" w:eastAsia="Arial" w:hAnsi="Arial"/>
          <w:color w:val="5D6D7E"/>
          <w:sz w:val="20"/>
          <w:szCs w:val="20"/>
        </w:rPr>
        <w:t xml:space="preserve">  |  Category: Multi-etiology, medication and organ-specific</w:t>
      </w:r>
    </w:p>
    <w:p>
      <w:pPr>
        <w:spacing w:after="120" w:before="0"/>
        <w:jc w:val="left"/>
      </w:pPr>
      <w:r>
        <w:rPr>
          <w:rFonts w:ascii="Arial" w:cs="Arial" w:eastAsia="Arial" w:hAnsi="Arial"/>
          <w:b w:val="false"/>
          <w:bCs w:val="false"/>
          <w:i/>
          <w:iCs/>
          <w:color w:val="5D6D7E"/>
          <w:sz w:val="18"/>
          <w:szCs w:val="18"/>
        </w:rPr>
        <w:t xml:space="preserve">Lower extremity swelling in DM+HTN patients. CCB-induced pedal edema is extremely common. Must distinguish from cardiac failure, nephrotic syndrome, DVT, CKD-related fluid overload, and hepatic causes.</w:t>
      </w:r>
    </w:p>
    <w:p>
      <w:pPr>
        <w:spacing w:after="40"/>
      </w:pPr>
    </w:p>
    <w:p>
      <w:pPr>
        <w:pStyle w:val="Heading3"/>
        <w:spacing w:before="180" w:after="90"/>
      </w:pPr>
      <w:r>
        <w:rPr>
          <w:rFonts w:ascii="Arial" w:cs="Arial" w:eastAsia="Arial" w:hAnsi="Arial"/>
        </w:rPr>
        <w:t xml:space="preserve">P03 Differential Skeleton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ID</w:t>
            </w:r>
          </w:p>
        </w:tc>
        <w:tc>
          <w:tcPr>
            <w:tcW w:type="dxa" w:w="88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Differential</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CCB-Induced Pedal Edema</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Heart Failure (fluid overload)</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CKD-Related Fluid Retention</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DVT (unilateral)</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Nephrotic Syndrome</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Hepatic Causes (hypoalbuminemia)</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DX07</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Venous Insufficiency</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DX08</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Medication-Related (pioglitazone, NSAID)</w:t>
            </w:r>
          </w:p>
        </w:tc>
      </w:tr>
    </w:tbl>
    <w:p>
      <w:pPr>
        <w:spacing w:after="40"/>
      </w:pPr>
    </w:p>
    <w:p>
      <w:pPr>
        <w:pStyle w:val="Heading3"/>
        <w:spacing w:before="180" w:after="90"/>
      </w:pPr>
      <w:r>
        <w:rPr>
          <w:rFonts w:ascii="Arial" w:cs="Arial" w:eastAsia="Arial" w:hAnsi="Arial"/>
        </w:rPr>
        <w:t xml:space="preserve">P03 Archetype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Archetype</w:t>
            </w:r>
          </w:p>
        </w:tc>
        <w:tc>
          <w:tcPr>
            <w:tcW w:type="dxa" w:w="80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Coverage</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DX01,DX08</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Cardiac</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 Heart Failure</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Metabolic</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 CKD,DX05 Nephrotic</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Vascular</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 DVT,DX07 Venous</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Structural</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 Hepatic</w:t>
            </w:r>
          </w:p>
        </w:tc>
      </w:tr>
    </w:tbl>
    <w:p>
      <w:pPr>
        <w:spacing w:after="40"/>
      </w:pPr>
    </w:p>
    <w:p>
      <w:pPr>
        <w:pStyle w:val="Heading3"/>
        <w:spacing w:before="180" w:after="90"/>
      </w:pPr>
      <w:r>
        <w:rPr>
          <w:rFonts w:ascii="Arial" w:cs="Arial" w:eastAsia="Arial" w:hAnsi="Arial"/>
        </w:rPr>
        <w:t xml:space="preserve">P03 Canon Source Contributions</w:t>
      </w:r>
    </w:p>
    <w:p>
      <w:pPr>
        <w:spacing w:after="80" w:before="0"/>
        <w:jc w:val="left"/>
      </w:pPr>
      <w:r>
        <w:rPr>
          <w:rFonts w:ascii="Arial" w:cs="Arial" w:eastAsia="Arial" w:hAnsi="Arial"/>
          <w:b/>
          <w:bCs/>
          <w:color w:val="2874A6"/>
          <w:sz w:val="19"/>
          <w:szCs w:val="19"/>
        </w:rPr>
        <w:t xml:space="preserve">BMJ</w:t>
      </w:r>
      <w:r>
        <w:rPr>
          <w:rFonts w:ascii="Arial" w:cs="Arial" w:eastAsia="Arial" w:hAnsi="Arial"/>
          <w:color w:val="444444"/>
          <w:sz w:val="18"/>
          <w:szCs w:val="18"/>
        </w:rPr>
        <w:t xml:space="preserve"> — Approach to peripheral edema. Bilateral vs unilateral distinction as primary discriminator. Pitting vs non-pitting. Associated symptoms: orthopnea, PND for cardiac; frothy urine for nephrotic. Red flags: acute unilateral swelling (DVT), progressive dyspnea (CHF exacerbation).</w:t>
      </w:r>
    </w:p>
    <w:p>
      <w:pPr>
        <w:spacing w:after="80" w:before="0"/>
        <w:jc w:val="left"/>
      </w:pPr>
      <w:r>
        <w:rPr>
          <w:rFonts w:ascii="Arial" w:cs="Arial" w:eastAsia="Arial" w:hAnsi="Arial"/>
          <w:b/>
          <w:bCs/>
          <w:color w:val="1A5276"/>
          <w:sz w:val="19"/>
          <w:szCs w:val="19"/>
        </w:rPr>
        <w:t xml:space="preserve">NICE</w:t>
      </w:r>
      <w:r>
        <w:rPr>
          <w:rFonts w:ascii="Arial" w:cs="Arial" w:eastAsia="Arial" w:hAnsi="Arial"/>
          <w:color w:val="444444"/>
          <w:sz w:val="18"/>
          <w:szCs w:val="18"/>
        </w:rPr>
        <w:t xml:space="preserve"> — DVT pathway: Wells criteria adaptation. Confirms acute unilateral calf swelling as high-priority red flag requiring urgent investigation. Heart failure pathway: NYHA classification, BNP thresholds. Informs Red Flag Sweep design.</w:t>
      </w:r>
    </w:p>
    <w:p>
      <w:pPr>
        <w:spacing w:after="80" w:before="0"/>
        <w:jc w:val="left"/>
      </w:pPr>
      <w:r>
        <w:rPr>
          <w:rFonts w:ascii="Arial" w:cs="Arial" w:eastAsia="Arial" w:hAnsi="Arial"/>
          <w:b/>
          <w:bCs/>
          <w:color w:val="B7950B"/>
          <w:sz w:val="19"/>
          <w:szCs w:val="19"/>
        </w:rPr>
        <w:t xml:space="preserve">ADA</w:t>
      </w:r>
      <w:r>
        <w:rPr>
          <w:rFonts w:ascii="Arial" w:cs="Arial" w:eastAsia="Arial" w:hAnsi="Arial"/>
          <w:color w:val="444444"/>
          <w:sz w:val="18"/>
          <w:szCs w:val="18"/>
        </w:rPr>
        <w:t xml:space="preserve"> — Diabetic nephropathy progression to nephrotic range proteinuria. SGLT2i may reduce edema (diuretic effect) — relevant context modifier. Pioglitazone fluid retention risk. Informs DX05 and DX08 differentials.</w:t>
      </w:r>
    </w:p>
    <w:p>
      <w:pPr>
        <w:spacing w:after="80" w:before="0"/>
        <w:jc w:val="left"/>
      </w:pPr>
      <w:r>
        <w:rPr>
          <w:rFonts w:ascii="Arial" w:cs="Arial" w:eastAsia="Arial" w:hAnsi="Arial"/>
          <w:b/>
          <w:bCs/>
          <w:color w:val="922B21"/>
          <w:sz w:val="19"/>
          <w:szCs w:val="19"/>
        </w:rPr>
        <w:t xml:space="preserve">API-ICP</w:t>
      </w:r>
      <w:r>
        <w:rPr>
          <w:rFonts w:ascii="Arial" w:cs="Arial" w:eastAsia="Arial" w:hAnsi="Arial"/>
          <w:color w:val="444444"/>
          <w:sz w:val="18"/>
          <w:szCs w:val="18"/>
        </w:rPr>
        <w:t xml:space="preserve"> — CRITICAL for this node. Amlodipine/cilnidipine pedal edema rates in Indian populations. API-ICP reports 10-15% incidence of pedal edema with amlodipine in Indian HTN patients. Cilnidipine has lower edema rate (~3-5%). Context modifier: amlodipine use → DX01 prior 0.40. Cilnidipine use → DX01 prior 0.15. This is the highest-impact population-specific modifier in the Canon.</w:t>
      </w:r>
    </w:p>
    <w:p>
      <w:pPr>
        <w:spacing w:after="80" w:before="0"/>
        <w:jc w:val="left"/>
      </w:pPr>
      <w:r>
        <w:rPr>
          <w:rFonts w:ascii="Arial" w:cs="Arial" w:eastAsia="Arial" w:hAnsi="Arial"/>
          <w:b/>
          <w:bCs/>
          <w:color w:val="117864"/>
          <w:sz w:val="19"/>
          <w:szCs w:val="19"/>
        </w:rPr>
        <w:t xml:space="preserve">KDIGO</w:t>
      </w:r>
      <w:r>
        <w:rPr>
          <w:rFonts w:ascii="Arial" w:cs="Arial" w:eastAsia="Arial" w:hAnsi="Arial"/>
          <w:color w:val="444444"/>
          <w:sz w:val="18"/>
          <w:szCs w:val="18"/>
        </w:rPr>
        <w:t xml:space="preserve"> — CKD fluid management. eGFR-based staging determines fluid retention risk. eGFR &lt;30 significantly increases DX03 prior. Albuminuria thresholds for nephrotic range (&gt;3.5g/day). Salt sensitivity in CKD-HTN compounds edema risk with Indian high-salt diet.</w:t>
      </w:r>
    </w:p>
    <w:p>
      <w:pPr>
        <w:spacing w:after="80" w:before="0"/>
        <w:jc w:val="left"/>
      </w:pPr>
      <w:r>
        <w:rPr>
          <w:rFonts w:ascii="Arial" w:cs="Arial" w:eastAsia="Arial" w:hAnsi="Arial"/>
          <w:b/>
          <w:bCs/>
          <w:color w:val="6C3483"/>
          <w:sz w:val="19"/>
          <w:szCs w:val="19"/>
        </w:rPr>
        <w:t xml:space="preserve">McGee</w:t>
      </w:r>
      <w:r>
        <w:rPr>
          <w:rFonts w:ascii="Arial" w:cs="Arial" w:eastAsia="Arial" w:hAnsi="Arial"/>
          <w:color w:val="444444"/>
          <w:sz w:val="18"/>
          <w:szCs w:val="18"/>
        </w:rPr>
        <w:t xml:space="preserve"> — LRs: Pitting edema LR+ 2.1 for systemic cause vs local. Unilateral LR+ 4.2 for DVT. Orthopnea LR+ 3.5 for heart failure. JVD LR+ 5.1 for cardiac cause (not assessable via WhatsApp — excluded from questions, added as physician attention item).</w:t>
      </w:r>
    </w:p>
    <w:p>
      <w:pPr>
        <w:spacing w:after="40"/>
      </w:pPr>
    </w:p>
    <w:p>
      <w:pPr>
        <w:pStyle w:val="Heading3"/>
        <w:spacing w:before="180" w:after="90"/>
      </w:pPr>
      <w:r>
        <w:rPr>
          <w:rFonts w:ascii="Arial" w:cs="Arial" w:eastAsia="Arial" w:hAnsi="Arial"/>
        </w:rPr>
        <w:t xml:space="preserve">P03 Source Conflicts and Resolution</w:t>
      </w:r>
    </w:p>
    <w:p>
      <w:pPr>
        <w:spacing w:after="120" w:before="0"/>
        <w:jc w:val="left"/>
      </w:pPr>
      <w:r>
        <w:rPr>
          <w:rFonts w:ascii="Arial" w:cs="Arial" w:eastAsia="Arial" w:hAnsi="Arial"/>
          <w:b w:val="false"/>
          <w:bCs w:val="false"/>
          <w:i w:val="false"/>
          <w:iCs w:val="false"/>
          <w:color w:val="333333"/>
          <w:sz w:val="18"/>
          <w:szCs w:val="18"/>
        </w:rPr>
        <w:t xml:space="preserve">API-ICP cilnidipine edema data is India-specific and not reflected in BMJ/McGee. BMJ weights cardiac causes higher in general population; in DM+HTN on CCBs, medication cause is much more prevalent. Resolution: API-ICP drives context modifiers for CCB-specific differentials; BMJ provides structural pathway for non-medication causes.</w:t>
      </w:r>
    </w:p>
    <w:p>
      <w:pPr>
        <w:spacing w:after="40"/>
      </w:pPr>
    </w:p>
    <w:p>
      <w:pPr>
        <w:pStyle w:val="Heading3"/>
        <w:spacing w:before="180" w:after="90"/>
      </w:pPr>
      <w:r>
        <w:rPr>
          <w:rFonts w:ascii="Arial" w:cs="Arial" w:eastAsia="Arial" w:hAnsi="Arial"/>
        </w:rPr>
        <w:t xml:space="preserve">P03 Cohort-Specific Considerations (Not in Canon)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770E" w:sz="4"/>
              <w:left w:val="single" w:color="B9770E" w:sz="1"/>
              <w:bottom w:val="single" w:color="B9770E" w:sz="1"/>
              <w:right w:val="single" w:color="B9770E" w:sz="1"/>
            </w:tcBorders>
            <w:shd w:fill="FDEBD0" w:val="clear"/>
            <w:tcMar>
              <w:top w:type="dxa" w:w="90"/>
              <w:left w:type="dxa" w:w="160"/>
              <w:bottom w:type="dxa" w:w="90"/>
              <w:right w:type="dxa" w:w="160"/>
            </w:tcMar>
          </w:tcPr>
          <w:p>
            <w:pPr>
              <w:spacing w:after="50"/>
            </w:pPr>
            <w:r>
              <w:rPr>
                <w:rFonts w:ascii="Arial" w:cs="Arial" w:eastAsia="Arial" w:hAnsi="Arial"/>
                <w:b/>
                <w:bCs/>
                <w:color w:val="B9770E"/>
                <w:sz w:val="18"/>
                <w:szCs w:val="18"/>
              </w:rPr>
              <w:t xml:space="preserve">POPULATION-SPECIFIC FACTORS</w:t>
            </w:r>
          </w:p>
          <w:p>
            <w:pPr>
              <w:spacing w:after="25"/>
              <w:ind w:left="160"/>
            </w:pPr>
            <w:r>
              <w:rPr>
                <w:rFonts w:ascii="Arial" w:cs="Arial" w:eastAsia="Arial" w:hAnsi="Arial"/>
                <w:color w:val="333333"/>
                <w:sz w:val="16"/>
                <w:szCs w:val="16"/>
              </w:rPr>
              <w:t xml:space="preserve">CCB use is near-universal in this HTN cohort. DX01 (CCB edema) will likely be the most common</w:t>
            </w:r>
          </w:p>
          <w:p>
            <w:pPr>
              <w:spacing w:after="25"/>
              <w:ind w:left="160"/>
            </w:pPr>
            <w:r>
              <w:rPr>
                <w:rFonts w:ascii="Arial" w:cs="Arial" w:eastAsia="Arial" w:hAnsi="Arial"/>
                <w:color w:val="333333"/>
                <w:sz w:val="16"/>
                <w:szCs w:val="16"/>
              </w:rPr>
              <w:t xml:space="preserve">final diagnosis. High-salt Indian diet compounds fluid retention. Bilateral Q01 distinction is</w:t>
            </w:r>
          </w:p>
          <w:p>
            <w:pPr>
              <w:spacing w:after="25"/>
              <w:ind w:left="160"/>
            </w:pPr>
            <w:r>
              <w:rPr>
                <w:rFonts w:ascii="Arial" w:cs="Arial" w:eastAsia="Arial" w:hAnsi="Arial"/>
                <w:color w:val="333333"/>
                <w:sz w:val="16"/>
                <w:szCs w:val="16"/>
              </w:rPr>
              <w:t xml:space="preserve">critical discriminator — unilateral must trigger DVT pathway immediately.</w:t>
            </w:r>
          </w:p>
        </w:tc>
      </w:tr>
    </w:tbl>
    <w:p>
      <w:pPr>
        <w:spacing w:after="40"/>
      </w:pPr>
    </w:p>
    <w:p>
      <w:r>
        <w:br w:type="page"/>
      </w:r>
    </w:p>
    <w:p>
      <w:pPr>
        <w:pStyle w:val="Heading2"/>
        <w:spacing w:before="240" w:after="110"/>
      </w:pPr>
      <w:r>
        <w:rPr>
          <w:rFonts w:ascii="Arial" w:cs="Arial" w:eastAsia="Arial" w:hAnsi="Arial"/>
        </w:rPr>
        <w:t xml:space="preserve">2.4 P04: Visual Changes / Aankhon Mein Dikkat</w:t>
      </w:r>
    </w:p>
    <w:p>
      <w:pPr>
        <w:spacing w:after="120" w:before="0"/>
        <w:jc w:val="left"/>
      </w:pPr>
      <w:r>
        <w:rPr>
          <w:rFonts w:ascii="Arial" w:cs="Arial" w:eastAsia="Arial" w:hAnsi="Arial"/>
          <w:b/>
          <w:bCs/>
          <w:color w:val="B9770E"/>
          <w:sz w:val="20"/>
          <w:szCs w:val="20"/>
        </w:rPr>
        <w:t xml:space="preserve">Priority: HIGH</w:t>
      </w:r>
      <w:r>
        <w:rPr>
          <w:rFonts w:ascii="Arial" w:cs="Arial" w:eastAsia="Arial" w:hAnsi="Arial"/>
          <w:color w:val="5D6D7E"/>
          <w:sz w:val="20"/>
          <w:szCs w:val="20"/>
        </w:rPr>
        <w:t xml:space="preserve">  |  Category: End-organ damage screening, time-sensitive</w:t>
      </w:r>
    </w:p>
    <w:p>
      <w:pPr>
        <w:spacing w:after="120" w:before="0"/>
        <w:jc w:val="left"/>
      </w:pPr>
      <w:r>
        <w:rPr>
          <w:rFonts w:ascii="Arial" w:cs="Arial" w:eastAsia="Arial" w:hAnsi="Arial"/>
          <w:b w:val="false"/>
          <w:bCs w:val="false"/>
          <w:i/>
          <w:iCs/>
          <w:color w:val="5D6D7E"/>
          <w:sz w:val="18"/>
          <w:szCs w:val="18"/>
        </w:rPr>
        <w:t xml:space="preserve">Visual disturbances including blurring, floaters, scotomata, photopsia. Must distinguish diabetic retinopathy progression from hypertensive retinopathy, refractive changes from glycemic fluctuation, medication effects, and acute emergencies (retinal detachment, acute glaucoma, vitreous hemorrhage).</w:t>
      </w:r>
    </w:p>
    <w:p>
      <w:pPr>
        <w:spacing w:after="40"/>
      </w:pPr>
    </w:p>
    <w:p>
      <w:pPr>
        <w:pStyle w:val="Heading3"/>
        <w:spacing w:before="180" w:after="90"/>
      </w:pPr>
      <w:r>
        <w:rPr>
          <w:rFonts w:ascii="Arial" w:cs="Arial" w:eastAsia="Arial" w:hAnsi="Arial"/>
        </w:rPr>
        <w:t xml:space="preserve">P04 Differential Skeleton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ID</w:t>
            </w:r>
          </w:p>
        </w:tc>
        <w:tc>
          <w:tcPr>
            <w:tcW w:type="dxa" w:w="88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Differential</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Glycemic Fluctuation Refractive Change</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Diabetic Retinopathy Progression</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Hypertensive Retinopathy</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Vitreous Hemorrhage</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Retinal Detachment</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Acute Angle-Closure Glaucoma</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DX07</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 Effect (metformin B12, ethambutol if TB)</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DX08</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Cataract Progression</w:t>
            </w:r>
          </w:p>
        </w:tc>
      </w:tr>
    </w:tbl>
    <w:p>
      <w:pPr>
        <w:spacing w:after="40"/>
      </w:pPr>
    </w:p>
    <w:p>
      <w:pPr>
        <w:pStyle w:val="Heading3"/>
        <w:spacing w:before="180" w:after="90"/>
      </w:pPr>
      <w:r>
        <w:rPr>
          <w:rFonts w:ascii="Arial" w:cs="Arial" w:eastAsia="Arial" w:hAnsi="Arial"/>
        </w:rPr>
        <w:t xml:space="preserve">P04 Archetype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Archetype</w:t>
            </w:r>
          </w:p>
        </w:tc>
        <w:tc>
          <w:tcPr>
            <w:tcW w:type="dxa" w:w="80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Coverage</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Metabolic</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 Glycemic,DX02 Retinopathy</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Vascular</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 Hypertensive,DX04 Vitreous</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Structural</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 Detachment,DX06 Glaucoma,DX08 Cataract</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DX07</w:t>
            </w:r>
          </w:p>
        </w:tc>
      </w:tr>
    </w:tbl>
    <w:p>
      <w:pPr>
        <w:spacing w:after="40"/>
      </w:pPr>
    </w:p>
    <w:p>
      <w:pPr>
        <w:pStyle w:val="Heading3"/>
        <w:spacing w:before="180" w:after="90"/>
      </w:pPr>
      <w:r>
        <w:rPr>
          <w:rFonts w:ascii="Arial" w:cs="Arial" w:eastAsia="Arial" w:hAnsi="Arial"/>
        </w:rPr>
        <w:t xml:space="preserve">P04 Canon Source Contributions</w:t>
      </w:r>
    </w:p>
    <w:p>
      <w:pPr>
        <w:spacing w:after="80" w:before="0"/>
        <w:jc w:val="left"/>
      </w:pPr>
      <w:r>
        <w:rPr>
          <w:rFonts w:ascii="Arial" w:cs="Arial" w:eastAsia="Arial" w:hAnsi="Arial"/>
          <w:b/>
          <w:bCs/>
          <w:color w:val="2874A6"/>
          <w:sz w:val="19"/>
          <w:szCs w:val="19"/>
        </w:rPr>
        <w:t xml:space="preserve">BMJ</w:t>
      </w:r>
      <w:r>
        <w:rPr>
          <w:rFonts w:ascii="Arial" w:cs="Arial" w:eastAsia="Arial" w:hAnsi="Arial"/>
          <w:color w:val="444444"/>
          <w:sz w:val="18"/>
          <w:szCs w:val="18"/>
        </w:rPr>
        <w:t xml:space="preserve"> — Approach to visual loss/disturbance. Red flag framework: sudden painless loss (retinal detachment, vitreous hemorrhage), painful red eye with halos (acute glaucoma), curtain/shadow (detachment). Temporal profile as primary discriminator: sudden vs gradual.</w:t>
      </w:r>
    </w:p>
    <w:p>
      <w:pPr>
        <w:spacing w:after="80" w:before="0"/>
        <w:jc w:val="left"/>
      </w:pPr>
      <w:r>
        <w:rPr>
          <w:rFonts w:ascii="Arial" w:cs="Arial" w:eastAsia="Arial" w:hAnsi="Arial"/>
          <w:b/>
          <w:bCs/>
          <w:color w:val="1A5276"/>
          <w:sz w:val="19"/>
          <w:szCs w:val="19"/>
        </w:rPr>
        <w:t xml:space="preserve">NICE</w:t>
      </w:r>
      <w:r>
        <w:rPr>
          <w:rFonts w:ascii="Arial" w:cs="Arial" w:eastAsia="Arial" w:hAnsi="Arial"/>
          <w:color w:val="444444"/>
          <w:sz w:val="18"/>
          <w:szCs w:val="18"/>
        </w:rPr>
        <w:t xml:space="preserve"> — Diabetic eye screening pathway. Annual retinal screening recommendations. Referral criteria for maculopathy, proliferative changes. Confirms red flags for emergency ophthalmology: sudden loss, flashing lights with floaters, painful red eye.</w:t>
      </w:r>
    </w:p>
    <w:p>
      <w:pPr>
        <w:spacing w:after="80" w:before="0"/>
        <w:jc w:val="left"/>
      </w:pPr>
      <w:r>
        <w:rPr>
          <w:rFonts w:ascii="Arial" w:cs="Arial" w:eastAsia="Arial" w:hAnsi="Arial"/>
          <w:b/>
          <w:bCs/>
          <w:color w:val="B7950B"/>
          <w:sz w:val="19"/>
          <w:szCs w:val="19"/>
        </w:rPr>
        <w:t xml:space="preserve">ADA</w:t>
      </w:r>
      <w:r>
        <w:rPr>
          <w:rFonts w:ascii="Arial" w:cs="Arial" w:eastAsia="Arial" w:hAnsi="Arial"/>
          <w:color w:val="444444"/>
          <w:sz w:val="18"/>
          <w:szCs w:val="18"/>
        </w:rPr>
        <w:t xml:space="preserve"> — Diabetic retinopathy classification and screening intervals. Risk factors: duration of DM, HbA1c level, HTN (synergistic damage). Glycemic fluctuation causing transient refractive changes (osmotic lens swelling). DX01 is common in patients with recent large glycemic improvements — relevant for correction loop patients whose FBG is rapidly improving.</w:t>
      </w:r>
    </w:p>
    <w:p>
      <w:pPr>
        <w:spacing w:after="80" w:before="0"/>
        <w:jc w:val="left"/>
      </w:pPr>
      <w:r>
        <w:rPr>
          <w:rFonts w:ascii="Arial" w:cs="Arial" w:eastAsia="Arial" w:hAnsi="Arial"/>
          <w:b/>
          <w:bCs/>
          <w:color w:val="922B21"/>
          <w:sz w:val="19"/>
          <w:szCs w:val="19"/>
        </w:rPr>
        <w:t xml:space="preserve">API-ICP</w:t>
      </w:r>
      <w:r>
        <w:rPr>
          <w:rFonts w:ascii="Arial" w:cs="Arial" w:eastAsia="Arial" w:hAnsi="Arial"/>
          <w:color w:val="444444"/>
          <w:sz w:val="18"/>
          <w:szCs w:val="18"/>
        </w:rPr>
        <w:t xml:space="preserve"> — Indian diabetic retinopathy prevalence data. Late diagnosis of DM in India means higher baseline retinopathy prevalence at enrollment. Coexistent HTN accelerates retinal damage. Context modifier: DM duration &gt;10 years AND poorly controlled HTN → DX02 prior elevated to 0.30.</w:t>
      </w:r>
    </w:p>
    <w:p>
      <w:pPr>
        <w:spacing w:after="80" w:before="0"/>
        <w:jc w:val="left"/>
      </w:pPr>
      <w:r>
        <w:rPr>
          <w:rFonts w:ascii="Arial" w:cs="Arial" w:eastAsia="Arial" w:hAnsi="Arial"/>
          <w:b/>
          <w:bCs/>
          <w:color w:val="6C3483"/>
          <w:sz w:val="19"/>
          <w:szCs w:val="19"/>
        </w:rPr>
        <w:t xml:space="preserve">McGee</w:t>
      </w:r>
      <w:r>
        <w:rPr>
          <w:rFonts w:ascii="Arial" w:cs="Arial" w:eastAsia="Arial" w:hAnsi="Arial"/>
          <w:color w:val="444444"/>
          <w:sz w:val="18"/>
          <w:szCs w:val="18"/>
        </w:rPr>
        <w:t xml:space="preserve"> — LRs: Sudden onset LR+ 4.8 for vascular/detachment cause. Gradual bilateral blurring LR+ 2.5 for refractive/cataract. Painful eye with nausea LR+ 6.0 for acute glaucoma. Floaters with photopsia LR+ 3.8 for vitreous/retinal pathology.</w:t>
      </w:r>
    </w:p>
    <w:p>
      <w:pPr>
        <w:spacing w:after="40"/>
      </w:pPr>
    </w:p>
    <w:p>
      <w:pPr>
        <w:pStyle w:val="Heading3"/>
        <w:spacing w:before="180" w:after="90"/>
      </w:pPr>
      <w:r>
        <w:rPr>
          <w:rFonts w:ascii="Arial" w:cs="Arial" w:eastAsia="Arial" w:hAnsi="Arial"/>
        </w:rPr>
        <w:t xml:space="preserve">P04 Source Conflicts and Resolution</w:t>
      </w:r>
    </w:p>
    <w:p>
      <w:pPr>
        <w:spacing w:after="120" w:before="0"/>
        <w:jc w:val="left"/>
      </w:pPr>
      <w:r>
        <w:rPr>
          <w:rFonts w:ascii="Arial" w:cs="Arial" w:eastAsia="Arial" w:hAnsi="Arial"/>
          <w:b w:val="false"/>
          <w:bCs w:val="false"/>
          <w:i w:val="false"/>
          <w:iCs w:val="false"/>
          <w:color w:val="333333"/>
          <w:sz w:val="18"/>
          <w:szCs w:val="18"/>
        </w:rPr>
        <w:t xml:space="preserve">ADA emphasizes rapid glycemic correction as benign cause of visual changes; BMJ emphasizes ruling out emergency causes first. Resolution: Red Flag Sweep (BMJ/NICE structure) runs first to exclude emergencies. After red flags clear, ADA's glycemic fluctuation context modifier activates for patients with recent FBG improvement &gt;30 mg/dL over 14 days.</w:t>
      </w:r>
    </w:p>
    <w:p>
      <w:pPr>
        <w:spacing w:after="40"/>
      </w:pPr>
    </w:p>
    <w:p>
      <w:pPr>
        <w:pStyle w:val="Heading3"/>
        <w:spacing w:before="180" w:after="90"/>
      </w:pPr>
      <w:r>
        <w:rPr>
          <w:rFonts w:ascii="Arial" w:cs="Arial" w:eastAsia="Arial" w:hAnsi="Arial"/>
        </w:rPr>
        <w:t xml:space="preserve">P04 Cohort-Specific Considerations (Not in Canon)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770E" w:sz="4"/>
              <w:left w:val="single" w:color="B9770E" w:sz="1"/>
              <w:bottom w:val="single" w:color="B9770E" w:sz="1"/>
              <w:right w:val="single" w:color="B9770E" w:sz="1"/>
            </w:tcBorders>
            <w:shd w:fill="FDEBD0" w:val="clear"/>
            <w:tcMar>
              <w:top w:type="dxa" w:w="90"/>
              <w:left w:type="dxa" w:w="160"/>
              <w:bottom w:type="dxa" w:w="90"/>
              <w:right w:type="dxa" w:w="160"/>
            </w:tcMar>
          </w:tcPr>
          <w:p>
            <w:pPr>
              <w:spacing w:after="50"/>
            </w:pPr>
            <w:r>
              <w:rPr>
                <w:rFonts w:ascii="Arial" w:cs="Arial" w:eastAsia="Arial" w:hAnsi="Arial"/>
                <w:b/>
                <w:bCs/>
                <w:color w:val="B9770E"/>
                <w:sz w:val="18"/>
                <w:szCs w:val="18"/>
              </w:rPr>
              <w:t xml:space="preserve">POPULATION-SPECIFIC FACTORS</w:t>
            </w:r>
          </w:p>
          <w:p>
            <w:pPr>
              <w:spacing w:after="25"/>
              <w:ind w:left="160"/>
            </w:pPr>
            <w:r>
              <w:rPr>
                <w:rFonts w:ascii="Arial" w:cs="Arial" w:eastAsia="Arial" w:hAnsi="Arial"/>
                <w:color w:val="333333"/>
                <w:sz w:val="16"/>
                <w:szCs w:val="16"/>
              </w:rPr>
              <w:t xml:space="preserve">Correction loop patients actively improving glycemic control may experience transient blurring</w:t>
            </w:r>
          </w:p>
          <w:p>
            <w:pPr>
              <w:spacing w:after="25"/>
              <w:ind w:left="160"/>
            </w:pPr>
            <w:r>
              <w:rPr>
                <w:rFonts w:ascii="Arial" w:cs="Arial" w:eastAsia="Arial" w:hAnsi="Arial"/>
                <w:color w:val="333333"/>
                <w:sz w:val="16"/>
                <w:szCs w:val="16"/>
              </w:rPr>
              <w:t xml:space="preserve">(DX01) — this is actually a sign of treatment success, not pathology. Must distinguish from</w:t>
            </w:r>
          </w:p>
          <w:p>
            <w:pPr>
              <w:spacing w:after="25"/>
              <w:ind w:left="160"/>
            </w:pPr>
            <w:r>
              <w:rPr>
                <w:rFonts w:ascii="Arial" w:cs="Arial" w:eastAsia="Arial" w:hAnsi="Arial"/>
                <w:color w:val="333333"/>
                <w:sz w:val="16"/>
                <w:szCs w:val="16"/>
              </w:rPr>
              <w:t xml:space="preserve">retinopathy progression. DM duration data from intake is critical context modifier.</w:t>
            </w:r>
          </w:p>
        </w:tc>
      </w:tr>
    </w:tbl>
    <w:p>
      <w:pPr>
        <w:spacing w:after="40"/>
      </w:pPr>
    </w:p>
    <w:p>
      <w:r>
        <w:br w:type="page"/>
      </w:r>
    </w:p>
    <w:p>
      <w:pPr>
        <w:pStyle w:val="Heading2"/>
        <w:spacing w:before="240" w:after="110"/>
      </w:pPr>
      <w:r>
        <w:rPr>
          <w:rFonts w:ascii="Arial" w:cs="Arial" w:eastAsia="Arial" w:hAnsi="Arial"/>
        </w:rPr>
        <w:t xml:space="preserve">2.5 P05: Polyuria / Polydipsia / Baar Baar Peshab</w:t>
      </w:r>
    </w:p>
    <w:p>
      <w:pPr>
        <w:spacing w:after="120" w:before="0"/>
        <w:jc w:val="left"/>
      </w:pPr>
      <w:r>
        <w:rPr>
          <w:rFonts w:ascii="Arial" w:cs="Arial" w:eastAsia="Arial" w:hAnsi="Arial"/>
          <w:b/>
          <w:bCs/>
          <w:color w:val="333333"/>
          <w:sz w:val="20"/>
          <w:szCs w:val="20"/>
        </w:rPr>
        <w:t xml:space="preserve">Priority: MEDIUM</w:t>
      </w:r>
      <w:r>
        <w:rPr>
          <w:rFonts w:ascii="Arial" w:cs="Arial" w:eastAsia="Arial" w:hAnsi="Arial"/>
          <w:color w:val="5D6D7E"/>
          <w:sz w:val="20"/>
          <w:szCs w:val="20"/>
        </w:rPr>
        <w:t xml:space="preserve">  |  Category: Metabolic, medication-specific</w:t>
      </w:r>
    </w:p>
    <w:p>
      <w:pPr>
        <w:spacing w:after="120" w:before="0"/>
        <w:jc w:val="left"/>
      </w:pPr>
      <w:r>
        <w:rPr>
          <w:rFonts w:ascii="Arial" w:cs="Arial" w:eastAsia="Arial" w:hAnsi="Arial"/>
          <w:b w:val="false"/>
          <w:bCs w:val="false"/>
          <w:i/>
          <w:iCs/>
          <w:color w:val="5D6D7E"/>
          <w:sz w:val="18"/>
          <w:szCs w:val="18"/>
        </w:rPr>
        <w:t xml:space="preserve">Increased urination and/or thirst. In DM+HTN patients, must distinguish glycosuria-driven polyuria (poor control) from SGLT2i pharmacological glycosuria (expected drug effect), diuretic-induced polyuria, UTI, and rare causes (DI, hypercalcemia).</w:t>
      </w:r>
    </w:p>
    <w:p>
      <w:pPr>
        <w:spacing w:after="40"/>
      </w:pPr>
    </w:p>
    <w:p>
      <w:pPr>
        <w:pStyle w:val="Heading3"/>
        <w:spacing w:before="180" w:after="90"/>
      </w:pPr>
      <w:r>
        <w:rPr>
          <w:rFonts w:ascii="Arial" w:cs="Arial" w:eastAsia="Arial" w:hAnsi="Arial"/>
        </w:rPr>
        <w:t xml:space="preserve">P05 Differential Skeleton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ID</w:t>
            </w:r>
          </w:p>
        </w:tc>
        <w:tc>
          <w:tcPr>
            <w:tcW w:type="dxa" w:w="88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Differential</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Hyperglycemia-Driven Osmotic Diuresis</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SGLT2i Pharmacological Glycosuria</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Diuretic Effect (thiazide/furosemide)</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Urinary Tract Infection</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Diabetic Autonomic Neuropathy (bladder)</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Prostatic Hypertrophy (males &gt;50)</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DX07</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Diabetes Insipidus (rare)</w:t>
            </w:r>
          </w:p>
        </w:tc>
      </w:tr>
    </w:tbl>
    <w:p>
      <w:pPr>
        <w:spacing w:after="40"/>
      </w:pPr>
    </w:p>
    <w:p>
      <w:pPr>
        <w:pStyle w:val="Heading3"/>
        <w:spacing w:before="180" w:after="90"/>
      </w:pPr>
      <w:r>
        <w:rPr>
          <w:rFonts w:ascii="Arial" w:cs="Arial" w:eastAsia="Arial" w:hAnsi="Arial"/>
        </w:rPr>
        <w:t xml:space="preserve">P05 Archetype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Archetype</w:t>
            </w:r>
          </w:p>
        </w:tc>
        <w:tc>
          <w:tcPr>
            <w:tcW w:type="dxa" w:w="80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Coverage</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Metabolic</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 Hyperglycemia</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 SGLT2i,DX03 Diuretic</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Infectious</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 UTI</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Structural</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 Neuropathy,DX06 Prostatic</w:t>
            </w:r>
          </w:p>
        </w:tc>
      </w:tr>
    </w:tbl>
    <w:p>
      <w:pPr>
        <w:spacing w:after="40"/>
      </w:pPr>
    </w:p>
    <w:p>
      <w:pPr>
        <w:pStyle w:val="Heading3"/>
        <w:spacing w:before="180" w:after="90"/>
      </w:pPr>
      <w:r>
        <w:rPr>
          <w:rFonts w:ascii="Arial" w:cs="Arial" w:eastAsia="Arial" w:hAnsi="Arial"/>
        </w:rPr>
        <w:t xml:space="preserve">P05 Canon Source Contributions</w:t>
      </w:r>
    </w:p>
    <w:p>
      <w:pPr>
        <w:spacing w:after="80" w:before="0"/>
        <w:jc w:val="left"/>
      </w:pPr>
      <w:r>
        <w:rPr>
          <w:rFonts w:ascii="Arial" w:cs="Arial" w:eastAsia="Arial" w:hAnsi="Arial"/>
          <w:b/>
          <w:bCs/>
          <w:color w:val="2874A6"/>
          <w:sz w:val="19"/>
          <w:szCs w:val="19"/>
        </w:rPr>
        <w:t xml:space="preserve">BMJ</w:t>
      </w:r>
      <w:r>
        <w:rPr>
          <w:rFonts w:ascii="Arial" w:cs="Arial" w:eastAsia="Arial" w:hAnsi="Arial"/>
          <w:color w:val="444444"/>
          <w:sz w:val="18"/>
          <w:szCs w:val="18"/>
        </w:rPr>
        <w:t xml:space="preserve"> — Approach to polyuria. Volume distinction: true polyuria (&gt;3L/day) vs frequency without volume increase. Osmotic vs water diuresis. Differential framework: hyperglycemia, DI, hypercalcemia, psychogenic polydipsia, medication-induced.</w:t>
      </w:r>
    </w:p>
    <w:p>
      <w:pPr>
        <w:spacing w:after="80" w:before="0"/>
        <w:jc w:val="left"/>
      </w:pPr>
      <w:r>
        <w:rPr>
          <w:rFonts w:ascii="Arial" w:cs="Arial" w:eastAsia="Arial" w:hAnsi="Arial"/>
          <w:b/>
          <w:bCs/>
          <w:color w:val="B7950B"/>
          <w:sz w:val="19"/>
          <w:szCs w:val="19"/>
        </w:rPr>
        <w:t xml:space="preserve">ADA</w:t>
      </w:r>
      <w:r>
        <w:rPr>
          <w:rFonts w:ascii="Arial" w:cs="Arial" w:eastAsia="Arial" w:hAnsi="Arial"/>
          <w:color w:val="444444"/>
          <w:sz w:val="18"/>
          <w:szCs w:val="18"/>
        </w:rPr>
        <w:t xml:space="preserve"> — CRITICAL: SGLT2i mechanism of action produces expected glycosuria and polyuria. This is NOT pathological — it is the drug working as designed. Patients starting SGLT2i (empagliflozin, dapagliflozin) will commonly report increased urination. Context modifier: SGLT2i started &lt;60 days → DX02 prior 0.45. Also: hyperglycemia threshold for osmotic symptoms (typically &gt;250 mg/dL). UTI risk increased with SGLT2i use.</w:t>
      </w:r>
    </w:p>
    <w:p>
      <w:pPr>
        <w:spacing w:after="80" w:before="0"/>
        <w:jc w:val="left"/>
      </w:pPr>
      <w:r>
        <w:rPr>
          <w:rFonts w:ascii="Arial" w:cs="Arial" w:eastAsia="Arial" w:hAnsi="Arial"/>
          <w:b/>
          <w:bCs/>
          <w:color w:val="922B21"/>
          <w:sz w:val="19"/>
          <w:szCs w:val="19"/>
        </w:rPr>
        <w:t xml:space="preserve">API-ICP</w:t>
      </w:r>
      <w:r>
        <w:rPr>
          <w:rFonts w:ascii="Arial" w:cs="Arial" w:eastAsia="Arial" w:hAnsi="Arial"/>
          <w:color w:val="444444"/>
          <w:sz w:val="18"/>
          <w:szCs w:val="18"/>
        </w:rPr>
        <w:t xml:space="preserve"> — Indian SGLT2i adoption rates increasing. SGLT2i + ARB + metformin becoming common triple therapy. Indian hydration patterns (lower baseline fluid intake in many patients) may make SGLT2i-related dehydration more symptomatic. UTI risk with SGLT2i in Indian women (hygiene, water access factors).</w:t>
      </w:r>
    </w:p>
    <w:p>
      <w:pPr>
        <w:spacing w:after="80" w:before="0"/>
        <w:jc w:val="left"/>
      </w:pPr>
      <w:r>
        <w:rPr>
          <w:rFonts w:ascii="Arial" w:cs="Arial" w:eastAsia="Arial" w:hAnsi="Arial"/>
          <w:b/>
          <w:bCs/>
          <w:color w:val="117864"/>
          <w:sz w:val="19"/>
          <w:szCs w:val="19"/>
        </w:rPr>
        <w:t xml:space="preserve">KDIGO</w:t>
      </w:r>
      <w:r>
        <w:rPr>
          <w:rFonts w:ascii="Arial" w:cs="Arial" w:eastAsia="Arial" w:hAnsi="Arial"/>
          <w:color w:val="444444"/>
          <w:sz w:val="18"/>
          <w:szCs w:val="18"/>
        </w:rPr>
        <w:t xml:space="preserve"> — Renal threshold for glucose spillage changes with eGFR. SGLT2i less effective (and less likely to cause glycosuria) at eGFR &lt;45. If patient on SGLT2i with eGFR &lt;45 reports new polyuria, DX02 becomes less likely — look for DX01 or DX04. Context modifier: eGFR &lt;45 AND SGLT2i → DX02 prior reduced to 0.10.</w:t>
      </w:r>
    </w:p>
    <w:p>
      <w:pPr>
        <w:spacing w:after="80" w:before="0"/>
        <w:jc w:val="left"/>
      </w:pPr>
      <w:r>
        <w:rPr>
          <w:rFonts w:ascii="Arial" w:cs="Arial" w:eastAsia="Arial" w:hAnsi="Arial"/>
          <w:b/>
          <w:bCs/>
          <w:color w:val="6C3483"/>
          <w:sz w:val="19"/>
          <w:szCs w:val="19"/>
        </w:rPr>
        <w:t xml:space="preserve">McGee</w:t>
      </w:r>
      <w:r>
        <w:rPr>
          <w:rFonts w:ascii="Arial" w:cs="Arial" w:eastAsia="Arial" w:hAnsi="Arial"/>
          <w:color w:val="444444"/>
          <w:sz w:val="18"/>
          <w:szCs w:val="18"/>
        </w:rPr>
        <w:t xml:space="preserve"> — LRs: Nocturia &gt;2 episodes LR+ 2.2 for polyuria vs frequency. Dysuria LR+ 4.5 for UTI. Thirst with polyuria LR+ 2.8 for osmotic cause (hyperglycemia or DI). Gradual onset LR+ 1.8 for metabolic vs acute for infection.</w:t>
      </w:r>
    </w:p>
    <w:p>
      <w:pPr>
        <w:spacing w:after="40"/>
      </w:pPr>
    </w:p>
    <w:p>
      <w:pPr>
        <w:pStyle w:val="Heading3"/>
        <w:spacing w:before="180" w:after="90"/>
      </w:pPr>
      <w:r>
        <w:rPr>
          <w:rFonts w:ascii="Arial" w:cs="Arial" w:eastAsia="Arial" w:hAnsi="Arial"/>
        </w:rPr>
        <w:t xml:space="preserve">P05 Source Conflicts and Resolution</w:t>
      </w:r>
    </w:p>
    <w:p>
      <w:pPr>
        <w:spacing w:after="120" w:before="0"/>
        <w:jc w:val="left"/>
      </w:pPr>
      <w:r>
        <w:rPr>
          <w:rFonts w:ascii="Arial" w:cs="Arial" w:eastAsia="Arial" w:hAnsi="Arial"/>
          <w:b w:val="false"/>
          <w:bCs w:val="false"/>
          <w:i w:val="false"/>
          <w:iCs w:val="false"/>
          <w:color w:val="333333"/>
          <w:sz w:val="18"/>
          <w:szCs w:val="18"/>
        </w:rPr>
        <w:t xml:space="preserve">BMJ includes diabetes insipidus prominently in polyuria differential; extremely rare in DM+HTN cohort. API-ICP SGLT2i guidance may differ from ADA on when to continue vs stop in context of UTI symptoms. Resolution: DI included with very low prior (0.02, floor protected). SGLT2i continuation decisions deferred to physician — HPI identifies but does not recommend medication changes.</w:t>
      </w:r>
    </w:p>
    <w:p>
      <w:pPr>
        <w:spacing w:after="40"/>
      </w:pPr>
    </w:p>
    <w:p>
      <w:pPr>
        <w:pStyle w:val="Heading3"/>
        <w:spacing w:before="180" w:after="90"/>
      </w:pPr>
      <w:r>
        <w:rPr>
          <w:rFonts w:ascii="Arial" w:cs="Arial" w:eastAsia="Arial" w:hAnsi="Arial"/>
        </w:rPr>
        <w:t xml:space="preserve">P05 Cohort-Specific Considerations (Not in Canon)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770E" w:sz="4"/>
              <w:left w:val="single" w:color="B9770E" w:sz="1"/>
              <w:bottom w:val="single" w:color="B9770E" w:sz="1"/>
              <w:right w:val="single" w:color="B9770E" w:sz="1"/>
            </w:tcBorders>
            <w:shd w:fill="FDEBD0" w:val="clear"/>
            <w:tcMar>
              <w:top w:type="dxa" w:w="90"/>
              <w:left w:type="dxa" w:w="160"/>
              <w:bottom w:type="dxa" w:w="90"/>
              <w:right w:type="dxa" w:w="160"/>
            </w:tcMar>
          </w:tcPr>
          <w:p>
            <w:pPr>
              <w:spacing w:after="50"/>
            </w:pPr>
            <w:r>
              <w:rPr>
                <w:rFonts w:ascii="Arial" w:cs="Arial" w:eastAsia="Arial" w:hAnsi="Arial"/>
                <w:b/>
                <w:bCs/>
                <w:color w:val="B9770E"/>
                <w:sz w:val="18"/>
                <w:szCs w:val="18"/>
              </w:rPr>
              <w:t xml:space="preserve">POPULATION-SPECIFIC FACTORS</w:t>
            </w:r>
          </w:p>
          <w:p>
            <w:pPr>
              <w:spacing w:after="25"/>
              <w:ind w:left="160"/>
            </w:pPr>
            <w:r>
              <w:rPr>
                <w:rFonts w:ascii="Arial" w:cs="Arial" w:eastAsia="Arial" w:hAnsi="Arial"/>
                <w:color w:val="333333"/>
                <w:sz w:val="16"/>
                <w:szCs w:val="16"/>
              </w:rPr>
              <w:t xml:space="preserve">SGLT2i use is increasing rapidly in this cohort. DX02 (drug effect, not disease) may be the</w:t>
            </w:r>
          </w:p>
          <w:p>
            <w:pPr>
              <w:spacing w:after="25"/>
              <w:ind w:left="160"/>
            </w:pPr>
            <w:r>
              <w:rPr>
                <w:rFonts w:ascii="Arial" w:cs="Arial" w:eastAsia="Arial" w:hAnsi="Arial"/>
                <w:color w:val="333333"/>
                <w:sz w:val="16"/>
                <w:szCs w:val="16"/>
              </w:rPr>
              <w:t xml:space="preserve">most common explanation. Critical to distinguish 'drug working correctly' from 'disease</w:t>
            </w:r>
          </w:p>
          <w:p>
            <w:pPr>
              <w:spacing w:after="25"/>
              <w:ind w:left="160"/>
            </w:pPr>
            <w:r>
              <w:rPr>
                <w:rFonts w:ascii="Arial" w:cs="Arial" w:eastAsia="Arial" w:hAnsi="Arial"/>
                <w:color w:val="333333"/>
                <w:sz w:val="16"/>
                <w:szCs w:val="16"/>
              </w:rPr>
              <w:t xml:space="preserve">worsening' — educational messaging alongside HPI result. UTI risk in women on SGLT2i requires</w:t>
            </w:r>
          </w:p>
          <w:p>
            <w:pPr>
              <w:spacing w:after="25"/>
              <w:ind w:left="160"/>
            </w:pPr>
            <w:r>
              <w:rPr>
                <w:rFonts w:ascii="Arial" w:cs="Arial" w:eastAsia="Arial" w:hAnsi="Arial"/>
                <w:color w:val="333333"/>
                <w:sz w:val="16"/>
                <w:szCs w:val="16"/>
              </w:rPr>
              <w:t xml:space="preserve">genital symptom screening question.</w:t>
            </w:r>
          </w:p>
        </w:tc>
      </w:tr>
    </w:tbl>
    <w:p>
      <w:pPr>
        <w:spacing w:after="40"/>
      </w:pPr>
    </w:p>
    <w:p>
      <w:r>
        <w:br w:type="page"/>
      </w:r>
    </w:p>
    <w:p>
      <w:pPr>
        <w:pStyle w:val="Heading2"/>
        <w:spacing w:before="240" w:after="110"/>
      </w:pPr>
      <w:r>
        <w:rPr>
          <w:rFonts w:ascii="Arial" w:cs="Arial" w:eastAsia="Arial" w:hAnsi="Arial"/>
        </w:rPr>
        <w:t xml:space="preserve">2.6 P06: Peripheral Neuropathy / Haath-Paon Mein Sunn/Jalan</w:t>
      </w:r>
    </w:p>
    <w:p>
      <w:pPr>
        <w:spacing w:after="120" w:before="0"/>
        <w:jc w:val="left"/>
      </w:pPr>
      <w:r>
        <w:rPr>
          <w:rFonts w:ascii="Arial" w:cs="Arial" w:eastAsia="Arial" w:hAnsi="Arial"/>
          <w:b/>
          <w:bCs/>
          <w:color w:val="333333"/>
          <w:sz w:val="20"/>
          <w:szCs w:val="20"/>
        </w:rPr>
        <w:t xml:space="preserve">Priority: MEDIUM</w:t>
      </w:r>
      <w:r>
        <w:rPr>
          <w:rFonts w:ascii="Arial" w:cs="Arial" w:eastAsia="Arial" w:hAnsi="Arial"/>
          <w:color w:val="5D6D7E"/>
          <w:sz w:val="20"/>
          <w:szCs w:val="20"/>
        </w:rPr>
        <w:t xml:space="preserve">  |  Category: Complication screening, chronic</w:t>
      </w:r>
    </w:p>
    <w:p>
      <w:pPr>
        <w:spacing w:after="120" w:before="0"/>
        <w:jc w:val="left"/>
      </w:pPr>
      <w:r>
        <w:rPr>
          <w:rFonts w:ascii="Arial" w:cs="Arial" w:eastAsia="Arial" w:hAnsi="Arial"/>
          <w:b w:val="false"/>
          <w:bCs w:val="false"/>
          <w:i/>
          <w:iCs/>
          <w:color w:val="5D6D7E"/>
          <w:sz w:val="18"/>
          <w:szCs w:val="18"/>
        </w:rPr>
        <w:t xml:space="preserve">Numbness, tingling, burning in extremities. Diabetic peripheral neuropathy is extremely common (50% of long-duration DM). Must distinguish from B12 deficiency (metformin-induced), CKD-associated neuropathy, carpal tunnel, and cervical/lumbar radiculopathy.</w:t>
      </w:r>
    </w:p>
    <w:p>
      <w:pPr>
        <w:spacing w:after="40"/>
      </w:pPr>
    </w:p>
    <w:p>
      <w:pPr>
        <w:pStyle w:val="Heading3"/>
        <w:spacing w:before="180" w:after="90"/>
      </w:pPr>
      <w:r>
        <w:rPr>
          <w:rFonts w:ascii="Arial" w:cs="Arial" w:eastAsia="Arial" w:hAnsi="Arial"/>
        </w:rPr>
        <w:t xml:space="preserve">P06 Differential Skeleton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ID</w:t>
            </w:r>
          </w:p>
        </w:tc>
        <w:tc>
          <w:tcPr>
            <w:tcW w:type="dxa" w:w="88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Differential</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Diabetic Peripheral Neuropathy</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Metformin-Induced B12 Deficiency</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CKD-Associated Neuropathy</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Carpal Tunnel Syndrome</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Cervical/Lumbar Radiculopathy</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Alcoholic Neuropathy</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DX07</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Hypothyroid Neuropathy</w:t>
            </w:r>
          </w:p>
        </w:tc>
      </w:tr>
    </w:tbl>
    <w:p>
      <w:pPr>
        <w:spacing w:after="40"/>
      </w:pPr>
    </w:p>
    <w:p>
      <w:pPr>
        <w:pStyle w:val="Heading3"/>
        <w:spacing w:before="180" w:after="90"/>
      </w:pPr>
      <w:r>
        <w:rPr>
          <w:rFonts w:ascii="Arial" w:cs="Arial" w:eastAsia="Arial" w:hAnsi="Arial"/>
        </w:rPr>
        <w:t xml:space="preserve">P06 Archetype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Archetype</w:t>
            </w:r>
          </w:p>
        </w:tc>
        <w:tc>
          <w:tcPr>
            <w:tcW w:type="dxa" w:w="80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Coverage</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Metabolic</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 Diabetic</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 B12 Deficiency</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Structural</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 Carpal Tunnel,DX05 Radiculopathy</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Hematologic</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 CKD-related</w:t>
            </w:r>
          </w:p>
        </w:tc>
      </w:tr>
    </w:tbl>
    <w:p>
      <w:pPr>
        <w:spacing w:after="40"/>
      </w:pPr>
    </w:p>
    <w:p>
      <w:pPr>
        <w:pStyle w:val="Heading3"/>
        <w:spacing w:before="180" w:after="90"/>
      </w:pPr>
      <w:r>
        <w:rPr>
          <w:rFonts w:ascii="Arial" w:cs="Arial" w:eastAsia="Arial" w:hAnsi="Arial"/>
        </w:rPr>
        <w:t xml:space="preserve">P06 Canon Source Contributions</w:t>
      </w:r>
    </w:p>
    <w:p>
      <w:pPr>
        <w:spacing w:after="80" w:before="0"/>
        <w:jc w:val="left"/>
      </w:pPr>
      <w:r>
        <w:rPr>
          <w:rFonts w:ascii="Arial" w:cs="Arial" w:eastAsia="Arial" w:hAnsi="Arial"/>
          <w:b/>
          <w:bCs/>
          <w:color w:val="2874A6"/>
          <w:sz w:val="19"/>
          <w:szCs w:val="19"/>
        </w:rPr>
        <w:t xml:space="preserve">BMJ</w:t>
      </w:r>
      <w:r>
        <w:rPr>
          <w:rFonts w:ascii="Arial" w:cs="Arial" w:eastAsia="Arial" w:hAnsi="Arial"/>
          <w:color w:val="444444"/>
          <w:sz w:val="18"/>
          <w:szCs w:val="18"/>
        </w:rPr>
        <w:t xml:space="preserve"> — Approach to peripheral neuropathy. Distribution pattern as key discriminator: stocking-glove (DPN, B12), unilateral dermatomal (radiculopathy), median nerve (carpal tunnel). Symptom quality: burning/tingling (small fiber) vs numbness/weakness (large fiber).</w:t>
      </w:r>
    </w:p>
    <w:p>
      <w:pPr>
        <w:spacing w:after="80" w:before="0"/>
        <w:jc w:val="left"/>
      </w:pPr>
      <w:r>
        <w:rPr>
          <w:rFonts w:ascii="Arial" w:cs="Arial" w:eastAsia="Arial" w:hAnsi="Arial"/>
          <w:b/>
          <w:bCs/>
          <w:color w:val="B7950B"/>
          <w:sz w:val="19"/>
          <w:szCs w:val="19"/>
        </w:rPr>
        <w:t xml:space="preserve">ADA</w:t>
      </w:r>
      <w:r>
        <w:rPr>
          <w:rFonts w:ascii="Arial" w:cs="Arial" w:eastAsia="Arial" w:hAnsi="Arial"/>
          <w:color w:val="444444"/>
          <w:sz w:val="18"/>
          <w:szCs w:val="18"/>
        </w:rPr>
        <w:t xml:space="preserve"> — Diabetic neuropathy screening recommendations. Annual monofilament testing. Classification: sensory, motor, autonomic. Risk factors: duration, HbA1c, HTN (accelerates microvascular damage). B12 monitoring recommended for patients on metformin &gt;4 years. Informs DX01 base prior (DM duration &gt;10y → prior 0.40) and DX02 context modifier (metformin &gt;4y → DX02 prior +0.15).</w:t>
      </w:r>
    </w:p>
    <w:p>
      <w:pPr>
        <w:spacing w:after="80" w:before="0"/>
        <w:jc w:val="left"/>
      </w:pPr>
      <w:r>
        <w:rPr>
          <w:rFonts w:ascii="Arial" w:cs="Arial" w:eastAsia="Arial" w:hAnsi="Arial"/>
          <w:b/>
          <w:bCs/>
          <w:color w:val="922B21"/>
          <w:sz w:val="19"/>
          <w:szCs w:val="19"/>
        </w:rPr>
        <w:t xml:space="preserve">API-ICP</w:t>
      </w:r>
      <w:r>
        <w:rPr>
          <w:rFonts w:ascii="Arial" w:cs="Arial" w:eastAsia="Arial" w:hAnsi="Arial"/>
          <w:color w:val="444444"/>
          <w:sz w:val="18"/>
          <w:szCs w:val="18"/>
        </w:rPr>
        <w:t xml:space="preserve"> — Indian DPN prevalence data — higher than Western estimates due to late diagnosis. Metformin is near-universal first-line in India; B12 deficiency underdiagnosed. Indian vegetarian diet may compound B12 risk (lower dietary B12 intake). Context modifier: vegetarian diet AND metformin &gt;2y → DX02 prior elevated.</w:t>
      </w:r>
    </w:p>
    <w:p>
      <w:pPr>
        <w:spacing w:after="80" w:before="0"/>
        <w:jc w:val="left"/>
      </w:pPr>
      <w:r>
        <w:rPr>
          <w:rFonts w:ascii="Arial" w:cs="Arial" w:eastAsia="Arial" w:hAnsi="Arial"/>
          <w:b/>
          <w:bCs/>
          <w:color w:val="117864"/>
          <w:sz w:val="19"/>
          <w:szCs w:val="19"/>
        </w:rPr>
        <w:t xml:space="preserve">KDIGO</w:t>
      </w:r>
      <w:r>
        <w:rPr>
          <w:rFonts w:ascii="Arial" w:cs="Arial" w:eastAsia="Arial" w:hAnsi="Arial"/>
          <w:color w:val="444444"/>
          <w:sz w:val="18"/>
          <w:szCs w:val="18"/>
        </w:rPr>
        <w:t xml:space="preserve"> — CKD-associated neuropathy at eGFR &lt;30. Uremic neuropathy differential. Informs DX03 context modifier.</w:t>
      </w:r>
    </w:p>
    <w:p>
      <w:pPr>
        <w:spacing w:after="80" w:before="0"/>
        <w:jc w:val="left"/>
      </w:pPr>
      <w:r>
        <w:rPr>
          <w:rFonts w:ascii="Arial" w:cs="Arial" w:eastAsia="Arial" w:hAnsi="Arial"/>
          <w:b/>
          <w:bCs/>
          <w:color w:val="6C3483"/>
          <w:sz w:val="19"/>
          <w:szCs w:val="19"/>
        </w:rPr>
        <w:t xml:space="preserve">McGee</w:t>
      </w:r>
      <w:r>
        <w:rPr>
          <w:rFonts w:ascii="Arial" w:cs="Arial" w:eastAsia="Arial" w:hAnsi="Arial"/>
          <w:color w:val="444444"/>
          <w:sz w:val="18"/>
          <w:szCs w:val="18"/>
        </w:rPr>
        <w:t xml:space="preserve"> — LRs: Stocking-glove distribution LR+ 3.5 for DPN. Unilateral upper extremity LR+ 3.0 for carpal tunnel/radiculopathy. Burning quality LR+ 2.2 for small-fiber neuropathy. Dermatomal pattern LR+ 4.0 for radiculopathy.</w:t>
      </w:r>
    </w:p>
    <w:p>
      <w:pPr>
        <w:spacing w:after="40"/>
      </w:pPr>
    </w:p>
    <w:p>
      <w:pPr>
        <w:pStyle w:val="Heading3"/>
        <w:spacing w:before="180" w:after="90"/>
      </w:pPr>
      <w:r>
        <w:rPr>
          <w:rFonts w:ascii="Arial" w:cs="Arial" w:eastAsia="Arial" w:hAnsi="Arial"/>
        </w:rPr>
        <w:t xml:space="preserve">P06 Source Conflicts and Resolution</w:t>
      </w:r>
    </w:p>
    <w:p>
      <w:pPr>
        <w:spacing w:after="120" w:before="0"/>
        <w:jc w:val="left"/>
      </w:pPr>
      <w:r>
        <w:rPr>
          <w:rFonts w:ascii="Arial" w:cs="Arial" w:eastAsia="Arial" w:hAnsi="Arial"/>
          <w:b w:val="false"/>
          <w:bCs w:val="false"/>
          <w:i w:val="false"/>
          <w:iCs w:val="false"/>
          <w:color w:val="333333"/>
          <w:sz w:val="18"/>
          <w:szCs w:val="18"/>
        </w:rPr>
        <w:t xml:space="preserve">ADA recommends B12 monitoring after 4 years metformin; API-ICP practice often doesn't monitor B12 at all. Indian vegetarian population may need earlier monitoring (2 years). Resolution: context modifier uses 2-year threshold for vegetarian patients, 4-year for non-vegetarian, aligned with API-ICP dietary context + ADA metabolic rationale.</w:t>
      </w:r>
    </w:p>
    <w:p>
      <w:pPr>
        <w:spacing w:after="40"/>
      </w:pPr>
    </w:p>
    <w:p>
      <w:pPr>
        <w:pStyle w:val="Heading3"/>
        <w:spacing w:before="180" w:after="90"/>
      </w:pPr>
      <w:r>
        <w:rPr>
          <w:rFonts w:ascii="Arial" w:cs="Arial" w:eastAsia="Arial" w:hAnsi="Arial"/>
        </w:rPr>
        <w:t xml:space="preserve">P06 Cohort-Specific Considerations (Not in Canon)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770E" w:sz="4"/>
              <w:left w:val="single" w:color="B9770E" w:sz="1"/>
              <w:bottom w:val="single" w:color="B9770E" w:sz="1"/>
              <w:right w:val="single" w:color="B9770E" w:sz="1"/>
            </w:tcBorders>
            <w:shd w:fill="FDEBD0" w:val="clear"/>
            <w:tcMar>
              <w:top w:type="dxa" w:w="90"/>
              <w:left w:type="dxa" w:w="160"/>
              <w:bottom w:type="dxa" w:w="90"/>
              <w:right w:type="dxa" w:w="160"/>
            </w:tcMar>
          </w:tcPr>
          <w:p>
            <w:pPr>
              <w:spacing w:after="50"/>
            </w:pPr>
            <w:r>
              <w:rPr>
                <w:rFonts w:ascii="Arial" w:cs="Arial" w:eastAsia="Arial" w:hAnsi="Arial"/>
                <w:b/>
                <w:bCs/>
                <w:color w:val="B9770E"/>
                <w:sz w:val="18"/>
                <w:szCs w:val="18"/>
              </w:rPr>
              <w:t xml:space="preserve">POPULATION-SPECIFIC FACTORS</w:t>
            </w:r>
          </w:p>
          <w:p>
            <w:pPr>
              <w:spacing w:after="25"/>
              <w:ind w:left="160"/>
            </w:pPr>
            <w:r>
              <w:rPr>
                <w:rFonts w:ascii="Arial" w:cs="Arial" w:eastAsia="Arial" w:hAnsi="Arial"/>
                <w:color w:val="333333"/>
                <w:sz w:val="16"/>
                <w:szCs w:val="16"/>
              </w:rPr>
              <w:t xml:space="preserve">Near-universal metformin use combined with high vegetarian prevalence in Indian cohort makes</w:t>
            </w:r>
          </w:p>
          <w:p>
            <w:pPr>
              <w:spacing w:after="25"/>
              <w:ind w:left="160"/>
            </w:pPr>
            <w:r>
              <w:rPr>
                <w:rFonts w:ascii="Arial" w:cs="Arial" w:eastAsia="Arial" w:hAnsi="Arial"/>
                <w:color w:val="333333"/>
                <w:sz w:val="16"/>
                <w:szCs w:val="16"/>
              </w:rPr>
              <w:t xml:space="preserve">DX02 (B12 deficiency) much more common than Western literature suggests. DX01 (DPN) is expected</w:t>
            </w:r>
          </w:p>
          <w:p>
            <w:pPr>
              <w:spacing w:after="25"/>
              <w:ind w:left="160"/>
            </w:pPr>
            <w:r>
              <w:rPr>
                <w:rFonts w:ascii="Arial" w:cs="Arial" w:eastAsia="Arial" w:hAnsi="Arial"/>
                <w:color w:val="333333"/>
                <w:sz w:val="16"/>
                <w:szCs w:val="16"/>
              </w:rPr>
              <w:t xml:space="preserve">baseline — the clinical challenge is identifying the treatable B12 component on top of</w:t>
            </w:r>
          </w:p>
          <w:p>
            <w:pPr>
              <w:spacing w:after="25"/>
              <w:ind w:left="160"/>
            </w:pPr>
            <w:r>
              <w:rPr>
                <w:rFonts w:ascii="Arial" w:cs="Arial" w:eastAsia="Arial" w:hAnsi="Arial"/>
                <w:color w:val="333333"/>
                <w:sz w:val="16"/>
                <w:szCs w:val="16"/>
              </w:rPr>
              <w:t xml:space="preserve">irreversible DPN. Physician attention item: recommend B12 level check if not done in past 12</w:t>
            </w:r>
          </w:p>
          <w:p>
            <w:pPr>
              <w:spacing w:after="25"/>
              <w:ind w:left="160"/>
            </w:pPr>
            <w:r>
              <w:rPr>
                <w:rFonts w:ascii="Arial" w:cs="Arial" w:eastAsia="Arial" w:hAnsi="Arial"/>
                <w:color w:val="333333"/>
                <w:sz w:val="16"/>
                <w:szCs w:val="16"/>
              </w:rPr>
              <w:t xml:space="preserve">months.</w:t>
            </w:r>
          </w:p>
        </w:tc>
      </w:tr>
    </w:tbl>
    <w:p>
      <w:pPr>
        <w:spacing w:after="40"/>
      </w:pPr>
    </w:p>
    <w:p>
      <w:r>
        <w:br w:type="page"/>
      </w:r>
    </w:p>
    <w:p>
      <w:pPr>
        <w:pStyle w:val="Heading2"/>
        <w:spacing w:before="240" w:after="110"/>
      </w:pPr>
      <w:r>
        <w:rPr>
          <w:rFonts w:ascii="Arial" w:cs="Arial" w:eastAsia="Arial" w:hAnsi="Arial"/>
        </w:rPr>
        <w:t xml:space="preserve">2.7 P07: GI Disturbance / Pet Mein Taklif</w:t>
      </w:r>
    </w:p>
    <w:p>
      <w:pPr>
        <w:spacing w:after="120" w:before="0"/>
        <w:jc w:val="left"/>
      </w:pPr>
      <w:r>
        <w:rPr>
          <w:rFonts w:ascii="Arial" w:cs="Arial" w:eastAsia="Arial" w:hAnsi="Arial"/>
          <w:b/>
          <w:bCs/>
          <w:color w:val="B9770E"/>
          <w:sz w:val="20"/>
          <w:szCs w:val="20"/>
        </w:rPr>
        <w:t xml:space="preserve">Priority: HIGH</w:t>
      </w:r>
      <w:r>
        <w:rPr>
          <w:rFonts w:ascii="Arial" w:cs="Arial" w:eastAsia="Arial" w:hAnsi="Arial"/>
          <w:color w:val="5D6D7E"/>
          <w:sz w:val="20"/>
          <w:szCs w:val="20"/>
        </w:rPr>
        <w:t xml:space="preserve">  |  Category: Most common complaint, medication-dominant</w:t>
      </w:r>
    </w:p>
    <w:p>
      <w:pPr>
        <w:spacing w:after="120" w:before="0"/>
        <w:jc w:val="left"/>
      </w:pPr>
      <w:r>
        <w:rPr>
          <w:rFonts w:ascii="Arial" w:cs="Arial" w:eastAsia="Arial" w:hAnsi="Arial"/>
          <w:b w:val="false"/>
          <w:bCs w:val="false"/>
          <w:i/>
          <w:iCs/>
          <w:color w:val="5D6D7E"/>
          <w:sz w:val="18"/>
          <w:szCs w:val="18"/>
        </w:rPr>
        <w:t xml:space="preserve">Nausea, vomiting, diarrhea, abdominal pain, bloating. Metformin GI intolerance is the most frequent medication side effect in the cohort. Must distinguish from genuine GI pathology (pancreatitis, cholecystitis, gastroparesis, mesenteric ischemia).</w:t>
      </w:r>
    </w:p>
    <w:p>
      <w:pPr>
        <w:spacing w:after="40"/>
      </w:pPr>
    </w:p>
    <w:p>
      <w:pPr>
        <w:pStyle w:val="Heading3"/>
        <w:spacing w:before="180" w:after="90"/>
      </w:pPr>
      <w:r>
        <w:rPr>
          <w:rFonts w:ascii="Arial" w:cs="Arial" w:eastAsia="Arial" w:hAnsi="Arial"/>
        </w:rPr>
        <w:t xml:space="preserve">P07 Differential Skeleton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ID</w:t>
            </w:r>
          </w:p>
        </w:tc>
        <w:tc>
          <w:tcPr>
            <w:tcW w:type="dxa" w:w="88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Differential</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Metformin GI Intolerance</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Diabetic Gastroparesis</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Gastritis/PUD (NSAID)</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Acute Pancreatitis</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Cholecystitis</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Mesenteric Ischemia</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DX07</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 Interaction GI Effect</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DX08</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Infectious Gastroenteritis</w:t>
            </w:r>
          </w:p>
        </w:tc>
      </w:tr>
    </w:tbl>
    <w:p>
      <w:pPr>
        <w:spacing w:after="40"/>
      </w:pPr>
    </w:p>
    <w:p>
      <w:pPr>
        <w:pStyle w:val="Heading3"/>
        <w:spacing w:before="180" w:after="90"/>
      </w:pPr>
      <w:r>
        <w:rPr>
          <w:rFonts w:ascii="Arial" w:cs="Arial" w:eastAsia="Arial" w:hAnsi="Arial"/>
        </w:rPr>
        <w:t xml:space="preserve">P07 Archetype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Archetype</w:t>
            </w:r>
          </w:p>
        </w:tc>
        <w:tc>
          <w:tcPr>
            <w:tcW w:type="dxa" w:w="80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Coverage</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DX01,DX03 NSAID,DX07</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Metabolic</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 Gastroparesis</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Structural</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 Pancreatitis,DX05 Cholecystitis</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Vascular</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 Mesenteric Ischemia</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Infectious</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DX08</w:t>
            </w:r>
          </w:p>
        </w:tc>
      </w:tr>
    </w:tbl>
    <w:p>
      <w:pPr>
        <w:spacing w:after="40"/>
      </w:pPr>
    </w:p>
    <w:p>
      <w:pPr>
        <w:pStyle w:val="Heading3"/>
        <w:spacing w:before="180" w:after="90"/>
      </w:pPr>
      <w:r>
        <w:rPr>
          <w:rFonts w:ascii="Arial" w:cs="Arial" w:eastAsia="Arial" w:hAnsi="Arial"/>
        </w:rPr>
        <w:t xml:space="preserve">P07 Canon Source Contributions</w:t>
      </w:r>
    </w:p>
    <w:p>
      <w:pPr>
        <w:spacing w:after="80" w:before="0"/>
        <w:jc w:val="left"/>
      </w:pPr>
      <w:r>
        <w:rPr>
          <w:rFonts w:ascii="Arial" w:cs="Arial" w:eastAsia="Arial" w:hAnsi="Arial"/>
          <w:b/>
          <w:bCs/>
          <w:color w:val="2874A6"/>
          <w:sz w:val="19"/>
          <w:szCs w:val="19"/>
        </w:rPr>
        <w:t xml:space="preserve">BMJ</w:t>
      </w:r>
      <w:r>
        <w:rPr>
          <w:rFonts w:ascii="Arial" w:cs="Arial" w:eastAsia="Arial" w:hAnsi="Arial"/>
          <w:color w:val="444444"/>
          <w:sz w:val="18"/>
          <w:szCs w:val="18"/>
        </w:rPr>
        <w:t xml:space="preserve"> — Approach to nausea/vomiting and abdominal pain. Red flag framework: severe epigastric pain radiating to back (pancreatitis), RUQ pain with fever (cholecystitis), bloody stool (GI bleed), weight loss. Temporal pattern: medication-related typically onset-correlated; gastroparesis post-meal with delayed vomiting.</w:t>
      </w:r>
    </w:p>
    <w:p>
      <w:pPr>
        <w:spacing w:after="80" w:before="0"/>
        <w:jc w:val="left"/>
      </w:pPr>
      <w:r>
        <w:rPr>
          <w:rFonts w:ascii="Arial" w:cs="Arial" w:eastAsia="Arial" w:hAnsi="Arial"/>
          <w:b/>
          <w:bCs/>
          <w:color w:val="1A5276"/>
          <w:sz w:val="19"/>
          <w:szCs w:val="19"/>
        </w:rPr>
        <w:t xml:space="preserve">NICE</w:t>
      </w:r>
      <w:r>
        <w:rPr>
          <w:rFonts w:ascii="Arial" w:cs="Arial" w:eastAsia="Arial" w:hAnsi="Arial"/>
          <w:color w:val="444444"/>
          <w:sz w:val="18"/>
          <w:szCs w:val="18"/>
        </w:rPr>
        <w:t xml:space="preserve"> — Acute abdomen pathway for red flag cross-validation. Dyspepsia pathway for H. pylori testing recommendations. Confirms: severe pain with guarding = emergency referral. Adds: weight loss &gt;5% in 3 months as red flag for malignancy screening.</w:t>
      </w:r>
    </w:p>
    <w:p>
      <w:pPr>
        <w:spacing w:after="80" w:before="0"/>
        <w:jc w:val="left"/>
      </w:pPr>
      <w:r>
        <w:rPr>
          <w:rFonts w:ascii="Arial" w:cs="Arial" w:eastAsia="Arial" w:hAnsi="Arial"/>
          <w:b/>
          <w:bCs/>
          <w:color w:val="B7950B"/>
          <w:sz w:val="19"/>
          <w:szCs w:val="19"/>
        </w:rPr>
        <w:t xml:space="preserve">ADA</w:t>
      </w:r>
      <w:r>
        <w:rPr>
          <w:rFonts w:ascii="Arial" w:cs="Arial" w:eastAsia="Arial" w:hAnsi="Arial"/>
          <w:color w:val="444444"/>
          <w:sz w:val="18"/>
          <w:szCs w:val="18"/>
        </w:rPr>
        <w:t xml:space="preserve"> — Metformin GI side effects: diarrhea 10-25%, nausea 5-10%, usually dose-related and improves over time. Extended-release reduces GI effects. Gastroparesis risk with long-standing DM. GLP-1RA nausea (if added to regimen). Informs DX01 as dominant differential in new metformin starts.</w:t>
      </w:r>
    </w:p>
    <w:p>
      <w:pPr>
        <w:spacing w:after="80" w:before="0"/>
        <w:jc w:val="left"/>
      </w:pPr>
      <w:r>
        <w:rPr>
          <w:rFonts w:ascii="Arial" w:cs="Arial" w:eastAsia="Arial" w:hAnsi="Arial"/>
          <w:b/>
          <w:bCs/>
          <w:color w:val="922B21"/>
          <w:sz w:val="19"/>
          <w:szCs w:val="19"/>
        </w:rPr>
        <w:t xml:space="preserve">API-ICP</w:t>
      </w:r>
      <w:r>
        <w:rPr>
          <w:rFonts w:ascii="Arial" w:cs="Arial" w:eastAsia="Arial" w:hAnsi="Arial"/>
          <w:color w:val="444444"/>
          <w:sz w:val="18"/>
          <w:szCs w:val="18"/>
        </w:rPr>
        <w:t xml:space="preserve"> — Indian metformin formulations and GI tolerance patterns. Generic metformin quality variation in India may affect GI tolerability. Dietary factors: spicy food interaction with GI symptoms. Indian meal patterns (large evening meal) affect gastroparesis symptom timing. Informs temporal questioning for post-meal symptoms.</w:t>
      </w:r>
    </w:p>
    <w:p>
      <w:pPr>
        <w:spacing w:after="80" w:before="0"/>
        <w:jc w:val="left"/>
      </w:pPr>
      <w:r>
        <w:rPr>
          <w:rFonts w:ascii="Arial" w:cs="Arial" w:eastAsia="Arial" w:hAnsi="Arial"/>
          <w:b/>
          <w:bCs/>
          <w:color w:val="6C3483"/>
          <w:sz w:val="19"/>
          <w:szCs w:val="19"/>
        </w:rPr>
        <w:t xml:space="preserve">McGee</w:t>
      </w:r>
      <w:r>
        <w:rPr>
          <w:rFonts w:ascii="Arial" w:cs="Arial" w:eastAsia="Arial" w:hAnsi="Arial"/>
          <w:color w:val="444444"/>
          <w:sz w:val="18"/>
          <w:szCs w:val="18"/>
        </w:rPr>
        <w:t xml:space="preserve"> — LRs: Post-meal nausea/vomiting &gt;1hr after eating LR+ 3.0 for gastroparesis. Medication-temporal correlation LR+ 3.5 for drug-related cause. Epigastric pain radiating to back LR+ 4.2 for pancreatitis. RUQ pain with Murphy's sign (not assessable via WhatsApp — excluded). Bloody stool LR+ 5.0 for GI bleed.</w:t>
      </w:r>
    </w:p>
    <w:p>
      <w:pPr>
        <w:spacing w:after="40"/>
      </w:pPr>
    </w:p>
    <w:p>
      <w:pPr>
        <w:pStyle w:val="Heading3"/>
        <w:spacing w:before="180" w:after="90"/>
      </w:pPr>
      <w:r>
        <w:rPr>
          <w:rFonts w:ascii="Arial" w:cs="Arial" w:eastAsia="Arial" w:hAnsi="Arial"/>
        </w:rPr>
        <w:t xml:space="preserve">P07 Source Conflicts and Resolution</w:t>
      </w:r>
    </w:p>
    <w:p>
      <w:pPr>
        <w:spacing w:after="120" w:before="0"/>
        <w:jc w:val="left"/>
      </w:pPr>
      <w:r>
        <w:rPr>
          <w:rFonts w:ascii="Arial" w:cs="Arial" w:eastAsia="Arial" w:hAnsi="Arial"/>
          <w:b w:val="false"/>
          <w:bCs w:val="false"/>
          <w:i w:val="false"/>
          <w:iCs w:val="false"/>
          <w:color w:val="333333"/>
          <w:sz w:val="18"/>
          <w:szCs w:val="18"/>
        </w:rPr>
        <w:t xml:space="preserve">BMJ includes mesenteric ischemia in abdominal pain differential; previous clinical review identified this as a gap in original P07 draft (vascular archetype missing). DX06 now added. API-ICP dietary context not reflected in BMJ's Western-oriented GI assessment. Resolution: DX06 mesenteric ischemia added with low prior (0.03) but prior-floor protected given DM+HTN vascular risk. Indian dietary context modifiers for symptom timing.</w:t>
      </w:r>
    </w:p>
    <w:p>
      <w:pPr>
        <w:spacing w:after="40"/>
      </w:pPr>
    </w:p>
    <w:p>
      <w:pPr>
        <w:pStyle w:val="Heading3"/>
        <w:spacing w:before="180" w:after="90"/>
      </w:pPr>
      <w:r>
        <w:rPr>
          <w:rFonts w:ascii="Arial" w:cs="Arial" w:eastAsia="Arial" w:hAnsi="Arial"/>
        </w:rPr>
        <w:t xml:space="preserve">P07 Cohort-Specific Considerations (Not in Canon)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770E" w:sz="4"/>
              <w:left w:val="single" w:color="B9770E" w:sz="1"/>
              <w:bottom w:val="single" w:color="B9770E" w:sz="1"/>
              <w:right w:val="single" w:color="B9770E" w:sz="1"/>
            </w:tcBorders>
            <w:shd w:fill="FDEBD0" w:val="clear"/>
            <w:tcMar>
              <w:top w:type="dxa" w:w="90"/>
              <w:left w:type="dxa" w:w="160"/>
              <w:bottom w:type="dxa" w:w="90"/>
              <w:right w:type="dxa" w:w="160"/>
            </w:tcMar>
          </w:tcPr>
          <w:p>
            <w:pPr>
              <w:spacing w:after="50"/>
            </w:pPr>
            <w:r>
              <w:rPr>
                <w:rFonts w:ascii="Arial" w:cs="Arial" w:eastAsia="Arial" w:hAnsi="Arial"/>
                <w:b/>
                <w:bCs/>
                <w:color w:val="B9770E"/>
                <w:sz w:val="18"/>
                <w:szCs w:val="18"/>
              </w:rPr>
              <w:t xml:space="preserve">POPULATION-SPECIFIC FACTORS</w:t>
            </w:r>
          </w:p>
          <w:p>
            <w:pPr>
              <w:spacing w:after="25"/>
              <w:ind w:left="160"/>
            </w:pPr>
            <w:r>
              <w:rPr>
                <w:rFonts w:ascii="Arial" w:cs="Arial" w:eastAsia="Arial" w:hAnsi="Arial"/>
                <w:color w:val="333333"/>
                <w:sz w:val="16"/>
                <w:szCs w:val="16"/>
              </w:rPr>
              <w:t xml:space="preserve">Metformin GI intolerance is the #1 reason for medication non-adherence in this cohort.</w:t>
            </w:r>
          </w:p>
          <w:p>
            <w:pPr>
              <w:spacing w:after="25"/>
              <w:ind w:left="160"/>
            </w:pPr>
            <w:r>
              <w:rPr>
                <w:rFonts w:ascii="Arial" w:cs="Arial" w:eastAsia="Arial" w:hAnsi="Arial"/>
                <w:color w:val="333333"/>
                <w:sz w:val="16"/>
                <w:szCs w:val="16"/>
              </w:rPr>
              <w:t xml:space="preserve">Distinguishing DX01 (adjustable, manageable) from DX04-DX06 (dangerous) is the primary clinical</w:t>
            </w:r>
          </w:p>
          <w:p>
            <w:pPr>
              <w:spacing w:after="25"/>
              <w:ind w:left="160"/>
            </w:pPr>
            <w:r>
              <w:rPr>
                <w:rFonts w:ascii="Arial" w:cs="Arial" w:eastAsia="Arial" w:hAnsi="Arial"/>
                <w:color w:val="333333"/>
                <w:sz w:val="16"/>
                <w:szCs w:val="16"/>
              </w:rPr>
              <w:t xml:space="preserve">value. Indian spicy food + metformin interaction is a real clinical phenomenon not covered in</w:t>
            </w:r>
          </w:p>
          <w:p>
            <w:pPr>
              <w:spacing w:after="25"/>
              <w:ind w:left="160"/>
            </w:pPr>
            <w:r>
              <w:rPr>
                <w:rFonts w:ascii="Arial" w:cs="Arial" w:eastAsia="Arial" w:hAnsi="Arial"/>
                <w:color w:val="333333"/>
                <w:sz w:val="16"/>
                <w:szCs w:val="16"/>
              </w:rPr>
              <w:t xml:space="preserve">Western guidelines. Q02 (meal relation) and Q03 (medication timing) are the highest-value</w:t>
            </w:r>
          </w:p>
          <w:p>
            <w:pPr>
              <w:spacing w:after="25"/>
              <w:ind w:left="160"/>
            </w:pPr>
            <w:r>
              <w:rPr>
                <w:rFonts w:ascii="Arial" w:cs="Arial" w:eastAsia="Arial" w:hAnsi="Arial"/>
                <w:color w:val="333333"/>
                <w:sz w:val="16"/>
                <w:szCs w:val="16"/>
              </w:rPr>
              <w:t xml:space="preserve">discriminators.</w:t>
            </w:r>
          </w:p>
        </w:tc>
      </w:tr>
    </w:tbl>
    <w:p>
      <w:pPr>
        <w:spacing w:after="40"/>
      </w:pPr>
    </w:p>
    <w:p>
      <w:r>
        <w:br w:type="page"/>
      </w:r>
    </w:p>
    <w:p>
      <w:pPr>
        <w:pStyle w:val="Heading2"/>
        <w:spacing w:before="240" w:after="110"/>
      </w:pPr>
      <w:r>
        <w:rPr>
          <w:rFonts w:ascii="Arial" w:cs="Arial" w:eastAsia="Arial" w:hAnsi="Arial"/>
        </w:rPr>
        <w:t xml:space="preserve">2.8 P08: Fatigue / Thakaan / Kamzori</w:t>
      </w:r>
    </w:p>
    <w:p>
      <w:pPr>
        <w:spacing w:after="120" w:before="0"/>
        <w:jc w:val="left"/>
      </w:pPr>
      <w:r>
        <w:rPr>
          <w:rFonts w:ascii="Arial" w:cs="Arial" w:eastAsia="Arial" w:hAnsi="Arial"/>
          <w:b/>
          <w:bCs/>
          <w:color w:val="333333"/>
          <w:sz w:val="20"/>
          <w:szCs w:val="20"/>
        </w:rPr>
        <w:t xml:space="preserve">Priority: MEDIUM</w:t>
      </w:r>
      <w:r>
        <w:rPr>
          <w:rFonts w:ascii="Arial" w:cs="Arial" w:eastAsia="Arial" w:hAnsi="Arial"/>
          <w:color w:val="5D6D7E"/>
          <w:sz w:val="20"/>
          <w:szCs w:val="20"/>
        </w:rPr>
        <w:t xml:space="preserve">  |  Category: Non-specific, multi-etiology</w:t>
      </w:r>
    </w:p>
    <w:p>
      <w:pPr>
        <w:spacing w:after="120" w:before="0"/>
        <w:jc w:val="left"/>
      </w:pPr>
      <w:r>
        <w:rPr>
          <w:rFonts w:ascii="Arial" w:cs="Arial" w:eastAsia="Arial" w:hAnsi="Arial"/>
          <w:b w:val="false"/>
          <w:bCs w:val="false"/>
          <w:i/>
          <w:iCs/>
          <w:color w:val="5D6D7E"/>
          <w:sz w:val="18"/>
          <w:szCs w:val="18"/>
        </w:rPr>
        <w:t xml:space="preserve">Fatigue, weakness, lethargy. Extremely common and non-specific in DM+HTN patients. Must distinguish between glycemic causes, anemia, hypothyroidism, medication effects, depression, CKD, and sleep-related causes. High 'Pata nahi' rate expected for discriminating questions.</w:t>
      </w:r>
    </w:p>
    <w:p>
      <w:pPr>
        <w:spacing w:after="40"/>
      </w:pPr>
    </w:p>
    <w:p>
      <w:pPr>
        <w:pStyle w:val="Heading3"/>
        <w:spacing w:before="180" w:after="90"/>
      </w:pPr>
      <w:r>
        <w:rPr>
          <w:rFonts w:ascii="Arial" w:cs="Arial" w:eastAsia="Arial" w:hAnsi="Arial"/>
        </w:rPr>
        <w:t xml:space="preserve">P08 Differential Skeleton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ID</w:t>
            </w:r>
          </w:p>
        </w:tc>
        <w:tc>
          <w:tcPr>
            <w:tcW w:type="dxa" w:w="88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Differential</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Poor Glycemic Control</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Anemia (CKD/B12/Iron)</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Hypothyroidism</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 Side Effect (beta-blocker, statin)</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Depression/Mood Disorder</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Sleep Apnea/Poor Sleep</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DX07</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CKD-Related Fatigue</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DX08</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Heart Failure (early)</w:t>
            </w:r>
          </w:p>
        </w:tc>
      </w:tr>
    </w:tbl>
    <w:p>
      <w:pPr>
        <w:spacing w:after="40"/>
      </w:pPr>
    </w:p>
    <w:p>
      <w:pPr>
        <w:pStyle w:val="Heading3"/>
        <w:spacing w:before="180" w:after="90"/>
      </w:pPr>
      <w:r>
        <w:rPr>
          <w:rFonts w:ascii="Arial" w:cs="Arial" w:eastAsia="Arial" w:hAnsi="Arial"/>
        </w:rPr>
        <w:t xml:space="preserve">P08 Archetype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Archetype</w:t>
            </w:r>
          </w:p>
        </w:tc>
        <w:tc>
          <w:tcPr>
            <w:tcW w:type="dxa" w:w="80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Coverage</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Metabolic</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 Glycemic,DX03 Hypothyroid</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Hematologic</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 Anemia</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Psychiatric</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 Depression</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Structural</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 Sleep Apnea</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Cardiac</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DX08 Heart Failure</w:t>
            </w:r>
          </w:p>
        </w:tc>
      </w:tr>
    </w:tbl>
    <w:p>
      <w:pPr>
        <w:spacing w:after="40"/>
      </w:pPr>
    </w:p>
    <w:p>
      <w:pPr>
        <w:pStyle w:val="Heading3"/>
        <w:spacing w:before="180" w:after="90"/>
      </w:pPr>
      <w:r>
        <w:rPr>
          <w:rFonts w:ascii="Arial" w:cs="Arial" w:eastAsia="Arial" w:hAnsi="Arial"/>
        </w:rPr>
        <w:t xml:space="preserve">P08 Canon Source Contributions</w:t>
      </w:r>
    </w:p>
    <w:p>
      <w:pPr>
        <w:spacing w:after="80" w:before="0"/>
        <w:jc w:val="left"/>
      </w:pPr>
      <w:r>
        <w:rPr>
          <w:rFonts w:ascii="Arial" w:cs="Arial" w:eastAsia="Arial" w:hAnsi="Arial"/>
          <w:b/>
          <w:bCs/>
          <w:color w:val="2874A6"/>
          <w:sz w:val="19"/>
          <w:szCs w:val="19"/>
        </w:rPr>
        <w:t xml:space="preserve">BMJ</w:t>
      </w:r>
      <w:r>
        <w:rPr>
          <w:rFonts w:ascii="Arial" w:cs="Arial" w:eastAsia="Arial" w:hAnsi="Arial"/>
          <w:color w:val="444444"/>
          <w:sz w:val="18"/>
          <w:szCs w:val="18"/>
        </w:rPr>
        <w:t xml:space="preserve"> — Approach to fatigue. Framework: exclude organic causes first (anemia, thyroid, diabetes, CKD), then medication review, then consider psychiatric/sleep. Red flags: progressive weakness, weight loss, fever (exclude malignancy/infection). Duration as discriminator: &lt;2 weeks suggests acute illness; &gt;3 months suggests chronic cause.</w:t>
      </w:r>
    </w:p>
    <w:p>
      <w:pPr>
        <w:spacing w:after="80" w:before="0"/>
        <w:jc w:val="left"/>
      </w:pPr>
      <w:r>
        <w:rPr>
          <w:rFonts w:ascii="Arial" w:cs="Arial" w:eastAsia="Arial" w:hAnsi="Arial"/>
          <w:b/>
          <w:bCs/>
          <w:color w:val="B7950B"/>
          <w:sz w:val="19"/>
          <w:szCs w:val="19"/>
        </w:rPr>
        <w:t xml:space="preserve">ADA</w:t>
      </w:r>
      <w:r>
        <w:rPr>
          <w:rFonts w:ascii="Arial" w:cs="Arial" w:eastAsia="Arial" w:hAnsi="Arial"/>
          <w:color w:val="444444"/>
          <w:sz w:val="18"/>
          <w:szCs w:val="18"/>
        </w:rPr>
        <w:t xml:space="preserve"> — Glycemic variability as fatigue cause. Both hyperglycemia and hypoglycemia cause fatigue. HbA1c correlation with fatigue severity. Diabetes distress as contributor to fatigue and depression comorbidity. Sleep apnea screening in obese DM patients.</w:t>
      </w:r>
    </w:p>
    <w:p>
      <w:pPr>
        <w:spacing w:after="80" w:before="0"/>
        <w:jc w:val="left"/>
      </w:pPr>
      <w:r>
        <w:rPr>
          <w:rFonts w:ascii="Arial" w:cs="Arial" w:eastAsia="Arial" w:hAnsi="Arial"/>
          <w:b/>
          <w:bCs/>
          <w:color w:val="922B21"/>
          <w:sz w:val="19"/>
          <w:szCs w:val="19"/>
        </w:rPr>
        <w:t xml:space="preserve">API-ICP</w:t>
      </w:r>
      <w:r>
        <w:rPr>
          <w:rFonts w:ascii="Arial" w:cs="Arial" w:eastAsia="Arial" w:hAnsi="Arial"/>
          <w:color w:val="444444"/>
          <w:sz w:val="18"/>
          <w:szCs w:val="18"/>
        </w:rPr>
        <w:t xml:space="preserve"> — Indian diet quality impact on fatigue — protein deficiency and micronutrient gaps common. Beta-blocker use patterns in India (atenolol still common despite guideline recommendations against it). Informs DX04 context modifier for beta-blocker fatigue.</w:t>
      </w:r>
    </w:p>
    <w:p>
      <w:pPr>
        <w:spacing w:after="80" w:before="0"/>
        <w:jc w:val="left"/>
      </w:pPr>
      <w:r>
        <w:rPr>
          <w:rFonts w:ascii="Arial" w:cs="Arial" w:eastAsia="Arial" w:hAnsi="Arial"/>
          <w:b/>
          <w:bCs/>
          <w:color w:val="117864"/>
          <w:sz w:val="19"/>
          <w:szCs w:val="19"/>
        </w:rPr>
        <w:t xml:space="preserve">KDIGO</w:t>
      </w:r>
      <w:r>
        <w:rPr>
          <w:rFonts w:ascii="Arial" w:cs="Arial" w:eastAsia="Arial" w:hAnsi="Arial"/>
          <w:color w:val="444444"/>
          <w:sz w:val="18"/>
          <w:szCs w:val="18"/>
        </w:rPr>
        <w:t xml:space="preserve"> — CKD-related fatigue: significant contributor at eGFR &lt;45. Anemia of CKD (erythropoietin deficiency). Uremic fatigue distinct from anemia-related fatigue. Context modifier: eGFR &lt;45 → DX02 and DX07 priors both elevated.</w:t>
      </w:r>
    </w:p>
    <w:p>
      <w:pPr>
        <w:spacing w:after="80" w:before="0"/>
        <w:jc w:val="left"/>
      </w:pPr>
      <w:r>
        <w:rPr>
          <w:rFonts w:ascii="Arial" w:cs="Arial" w:eastAsia="Arial" w:hAnsi="Arial"/>
          <w:b/>
          <w:bCs/>
          <w:color w:val="6C3483"/>
          <w:sz w:val="19"/>
          <w:szCs w:val="19"/>
        </w:rPr>
        <w:t xml:space="preserve">McGee</w:t>
      </w:r>
      <w:r>
        <w:rPr>
          <w:rFonts w:ascii="Arial" w:cs="Arial" w:eastAsia="Arial" w:hAnsi="Arial"/>
          <w:color w:val="444444"/>
          <w:sz w:val="18"/>
          <w:szCs w:val="18"/>
        </w:rPr>
        <w:t xml:space="preserve"> — LRs for fatigue are generally poor (non-specific symptom). Pallor LR+ 2.0 for anemia. Weight gain with cold intolerance LR+ 3.2 for hypothyroidism. Sleep disturbance with anhedonia LR+ 2.8 for depression. Note: most LRs for fatigue discriminators are weak (1.5-2.5), reflecting the inherent difficulty of this differential.</w:t>
      </w:r>
    </w:p>
    <w:p>
      <w:pPr>
        <w:spacing w:after="40"/>
      </w:pPr>
    </w:p>
    <w:p>
      <w:pPr>
        <w:pStyle w:val="Heading3"/>
        <w:spacing w:before="180" w:after="90"/>
      </w:pPr>
      <w:r>
        <w:rPr>
          <w:rFonts w:ascii="Arial" w:cs="Arial" w:eastAsia="Arial" w:hAnsi="Arial"/>
        </w:rPr>
        <w:t xml:space="preserve">P08 Source Conflicts and Resolution</w:t>
      </w:r>
    </w:p>
    <w:p>
      <w:pPr>
        <w:spacing w:after="120" w:before="0"/>
        <w:jc w:val="left"/>
      </w:pPr>
      <w:r>
        <w:rPr>
          <w:rFonts w:ascii="Arial" w:cs="Arial" w:eastAsia="Arial" w:hAnsi="Arial"/>
          <w:b w:val="false"/>
          <w:bCs w:val="false"/>
          <w:i w:val="false"/>
          <w:iCs w:val="false"/>
          <w:color w:val="333333"/>
          <w:sz w:val="18"/>
          <w:szCs w:val="18"/>
        </w:rPr>
        <w:t xml:space="preserve">BMJ prioritizes organic causes; ADA emphasizes diabetes distress as underdiagnosed. Depression screening (PHQ-2) is sensitive but not specific. Resolution: organic screen first (anemia, thyroid, glycemic), then medication review, then PHQ-2 equivalent in Hindi. Closure Guard expected to fire more frequently for this node (~20-25%) due to low discriminatory power of available questions.</w:t>
      </w:r>
    </w:p>
    <w:p>
      <w:pPr>
        <w:spacing w:after="40"/>
      </w:pPr>
    </w:p>
    <w:p>
      <w:pPr>
        <w:pStyle w:val="Heading3"/>
        <w:spacing w:before="180" w:after="90"/>
      </w:pPr>
      <w:r>
        <w:rPr>
          <w:rFonts w:ascii="Arial" w:cs="Arial" w:eastAsia="Arial" w:hAnsi="Arial"/>
        </w:rPr>
        <w:t xml:space="preserve">P08 Cohort-Specific Considerations (Not in Canon)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770E" w:sz="4"/>
              <w:left w:val="single" w:color="B9770E" w:sz="1"/>
              <w:bottom w:val="single" w:color="B9770E" w:sz="1"/>
              <w:right w:val="single" w:color="B9770E" w:sz="1"/>
            </w:tcBorders>
            <w:shd w:fill="FDEBD0" w:val="clear"/>
            <w:tcMar>
              <w:top w:type="dxa" w:w="90"/>
              <w:left w:type="dxa" w:w="160"/>
              <w:bottom w:type="dxa" w:w="90"/>
              <w:right w:type="dxa" w:w="160"/>
            </w:tcMar>
          </w:tcPr>
          <w:p>
            <w:pPr>
              <w:spacing w:after="50"/>
            </w:pPr>
            <w:r>
              <w:rPr>
                <w:rFonts w:ascii="Arial" w:cs="Arial" w:eastAsia="Arial" w:hAnsi="Arial"/>
                <w:b/>
                <w:bCs/>
                <w:color w:val="B9770E"/>
                <w:sz w:val="18"/>
                <w:szCs w:val="18"/>
              </w:rPr>
              <w:t xml:space="preserve">POPULATION-SPECIFIC FACTORS</w:t>
            </w:r>
          </w:p>
          <w:p>
            <w:pPr>
              <w:spacing w:after="25"/>
              <w:ind w:left="160"/>
            </w:pPr>
            <w:r>
              <w:rPr>
                <w:rFonts w:ascii="Arial" w:cs="Arial" w:eastAsia="Arial" w:hAnsi="Arial"/>
                <w:color w:val="333333"/>
                <w:sz w:val="16"/>
                <w:szCs w:val="16"/>
              </w:rPr>
              <w:t xml:space="preserve">Fatigue is the most common complaint in DM patients globally. This node will have the highest</w:t>
            </w:r>
          </w:p>
          <w:p>
            <w:pPr>
              <w:spacing w:after="25"/>
              <w:ind w:left="160"/>
            </w:pPr>
            <w:r>
              <w:rPr>
                <w:rFonts w:ascii="Arial" w:cs="Arial" w:eastAsia="Arial" w:hAnsi="Arial"/>
                <w:color w:val="333333"/>
                <w:sz w:val="16"/>
                <w:szCs w:val="16"/>
              </w:rPr>
              <w:t xml:space="preserve">Closure Guard trigger rate because discriminating questions for fatigue are inherently weak.</w:t>
            </w:r>
          </w:p>
          <w:p>
            <w:pPr>
              <w:spacing w:after="25"/>
              <w:ind w:left="160"/>
            </w:pPr>
            <w:r>
              <w:rPr>
                <w:rFonts w:ascii="Arial" w:cs="Arial" w:eastAsia="Arial" w:hAnsi="Arial"/>
                <w:color w:val="333333"/>
                <w:sz w:val="16"/>
                <w:szCs w:val="16"/>
              </w:rPr>
              <w:t xml:space="preserve">The primary clinical value is: (1) catching the dangerous causes early (anemia, CKD, heart</w:t>
            </w:r>
          </w:p>
          <w:p>
            <w:pPr>
              <w:spacing w:after="25"/>
              <w:ind w:left="160"/>
            </w:pPr>
            <w:r>
              <w:rPr>
                <w:rFonts w:ascii="Arial" w:cs="Arial" w:eastAsia="Arial" w:hAnsi="Arial"/>
                <w:color w:val="333333"/>
                <w:sz w:val="16"/>
                <w:szCs w:val="16"/>
              </w:rPr>
              <w:t xml:space="preserve">failure) through targeted screening questions, and (2) generating physician attention items for</w:t>
            </w:r>
          </w:p>
          <w:p>
            <w:pPr>
              <w:spacing w:after="25"/>
              <w:ind w:left="160"/>
            </w:pPr>
            <w:r>
              <w:rPr>
                <w:rFonts w:ascii="Arial" w:cs="Arial" w:eastAsia="Arial" w:hAnsi="Arial"/>
                <w:color w:val="333333"/>
                <w:sz w:val="16"/>
                <w:szCs w:val="16"/>
              </w:rPr>
              <w:t xml:space="preserve">lab workup (CBC, TSH, B12). Expect top-1 agreement rate to be lower (~60-65%) than other nodes</w:t>
            </w:r>
          </w:p>
          <w:p>
            <w:pPr>
              <w:spacing w:after="25"/>
              <w:ind w:left="160"/>
            </w:pPr>
            <w:r>
              <w:rPr>
                <w:rFonts w:ascii="Arial" w:cs="Arial" w:eastAsia="Arial" w:hAnsi="Arial"/>
                <w:color w:val="333333"/>
                <w:sz w:val="16"/>
                <w:szCs w:val="16"/>
              </w:rPr>
              <w:t xml:space="preserve">due to multi-factorial nature.</w:t>
            </w:r>
          </w:p>
        </w:tc>
      </w:tr>
    </w:tbl>
    <w:p>
      <w:pPr>
        <w:spacing w:after="40"/>
      </w:pPr>
    </w:p>
    <w:p>
      <w:r>
        <w:br w:type="page"/>
      </w:r>
    </w:p>
    <w:p>
      <w:pPr>
        <w:pStyle w:val="Heading2"/>
        <w:spacing w:before="240" w:after="110"/>
      </w:pPr>
      <w:r>
        <w:rPr>
          <w:rFonts w:ascii="Arial" w:cs="Arial" w:eastAsia="Arial" w:hAnsi="Arial"/>
        </w:rPr>
        <w:t xml:space="preserve">2.9 P09: Sub-acute Chest Discomfort / Chhati Mein Taklif</w:t>
      </w:r>
    </w:p>
    <w:p>
      <w:pPr>
        <w:spacing w:after="120" w:before="0"/>
        <w:jc w:val="left"/>
      </w:pPr>
      <w:r>
        <w:rPr>
          <w:rFonts w:ascii="Arial" w:cs="Arial" w:eastAsia="Arial" w:hAnsi="Arial"/>
          <w:b/>
          <w:bCs/>
          <w:color w:val="C0392B"/>
          <w:sz w:val="20"/>
          <w:szCs w:val="20"/>
        </w:rPr>
        <w:t xml:space="preserve">Priority: CRITICAL</w:t>
      </w:r>
      <w:r>
        <w:rPr>
          <w:rFonts w:ascii="Arial" w:cs="Arial" w:eastAsia="Arial" w:hAnsi="Arial"/>
          <w:color w:val="5D6D7E"/>
          <w:sz w:val="20"/>
          <w:szCs w:val="20"/>
        </w:rPr>
        <w:t xml:space="preserve">  |  Category: Safety-critical, cardiac screening</w:t>
      </w:r>
    </w:p>
    <w:p>
      <w:pPr>
        <w:spacing w:after="120" w:before="0"/>
        <w:jc w:val="left"/>
      </w:pPr>
      <w:r>
        <w:rPr>
          <w:rFonts w:ascii="Arial" w:cs="Arial" w:eastAsia="Arial" w:hAnsi="Arial"/>
          <w:b w:val="false"/>
          <w:bCs w:val="false"/>
          <w:i/>
          <w:iCs/>
          <w:color w:val="5D6D7E"/>
          <w:sz w:val="18"/>
          <w:szCs w:val="18"/>
        </w:rPr>
        <w:t xml:space="preserve">Chest pain, tightness, pressure that is not acute/emergency (patient is reporting retrospectively or sub-acutely via WhatsApp, not calling 911). Must screen for stable angina, GERD, musculoskeletal, anxiety, and identify red flags requiring immediate evaluation. DM+HTN patients have elevated cardiovascular risk making even minor symptoms significant.</w:t>
      </w:r>
    </w:p>
    <w:p>
      <w:pPr>
        <w:spacing w:after="40"/>
      </w:pPr>
    </w:p>
    <w:p>
      <w:pPr>
        <w:pStyle w:val="Heading3"/>
        <w:spacing w:before="180" w:after="90"/>
      </w:pPr>
      <w:r>
        <w:rPr>
          <w:rFonts w:ascii="Arial" w:cs="Arial" w:eastAsia="Arial" w:hAnsi="Arial"/>
        </w:rPr>
        <w:t xml:space="preserve">P09 Differential Skeleton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ID</w:t>
            </w:r>
          </w:p>
        </w:tc>
        <w:tc>
          <w:tcPr>
            <w:tcW w:type="dxa" w:w="88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Differential</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GERD/Acid Reflux</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Stable Angina (exertional)</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Musculoskeletal (costochondritis)</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Anxiety-Related Chest Tightness</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Pericarditis</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 Effect (ACEi cough perceived as chest)</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DX07</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Unstable Angina/ACS (must exclude)</w:t>
            </w:r>
          </w:p>
        </w:tc>
      </w:tr>
    </w:tbl>
    <w:p>
      <w:pPr>
        <w:spacing w:after="40"/>
      </w:pPr>
    </w:p>
    <w:p>
      <w:pPr>
        <w:pStyle w:val="Heading3"/>
        <w:spacing w:before="180" w:after="90"/>
      </w:pPr>
      <w:r>
        <w:rPr>
          <w:rFonts w:ascii="Arial" w:cs="Arial" w:eastAsia="Arial" w:hAnsi="Arial"/>
        </w:rPr>
        <w:t xml:space="preserve">P09 Archetype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Archetype</w:t>
            </w:r>
          </w:p>
        </w:tc>
        <w:tc>
          <w:tcPr>
            <w:tcW w:type="dxa" w:w="80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Coverage</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Cardiac</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DX02,DX05,DX07 (CRITICAL)</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Structural</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 Musculoskeletal</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Metabolic</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 GERD</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Psychiatric</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 Anxiety</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 ACEi</w:t>
            </w:r>
          </w:p>
        </w:tc>
      </w:tr>
    </w:tbl>
    <w:p>
      <w:pPr>
        <w:spacing w:after="40"/>
      </w:pPr>
    </w:p>
    <w:p>
      <w:pPr>
        <w:pStyle w:val="Heading3"/>
        <w:spacing w:before="180" w:after="90"/>
      </w:pPr>
      <w:r>
        <w:rPr>
          <w:rFonts w:ascii="Arial" w:cs="Arial" w:eastAsia="Arial" w:hAnsi="Arial"/>
        </w:rPr>
        <w:t xml:space="preserve">P09 Canon Source Contributions</w:t>
      </w:r>
    </w:p>
    <w:p>
      <w:pPr>
        <w:spacing w:after="80" w:before="0"/>
        <w:jc w:val="left"/>
      </w:pPr>
      <w:r>
        <w:rPr>
          <w:rFonts w:ascii="Arial" w:cs="Arial" w:eastAsia="Arial" w:hAnsi="Arial"/>
          <w:b/>
          <w:bCs/>
          <w:color w:val="2874A6"/>
          <w:sz w:val="19"/>
          <w:szCs w:val="19"/>
        </w:rPr>
        <w:t xml:space="preserve">BMJ</w:t>
      </w:r>
      <w:r>
        <w:rPr>
          <w:rFonts w:ascii="Arial" w:cs="Arial" w:eastAsia="Arial" w:hAnsi="Arial"/>
          <w:color w:val="444444"/>
          <w:sz w:val="18"/>
          <w:szCs w:val="18"/>
        </w:rPr>
        <w:t xml:space="preserve"> — Approach to chest pain. CRITICAL: Red flag framework defines this node's safety architecture. Red flags: exertional chest pain, radiation to arm/jaw/back, associated diaphoresis, dyspnea at rest, syncope. Sub-acute presentation requires different pathway from acute MI — focus on stable angina identification and cardiology referral.</w:t>
      </w:r>
    </w:p>
    <w:p>
      <w:pPr>
        <w:spacing w:after="80" w:before="0"/>
        <w:jc w:val="left"/>
      </w:pPr>
      <w:r>
        <w:rPr>
          <w:rFonts w:ascii="Arial" w:cs="Arial" w:eastAsia="Arial" w:hAnsi="Arial"/>
          <w:b/>
          <w:bCs/>
          <w:color w:val="1A5276"/>
          <w:sz w:val="19"/>
          <w:szCs w:val="19"/>
        </w:rPr>
        <w:t xml:space="preserve">NICE</w:t>
      </w:r>
      <w:r>
        <w:rPr>
          <w:rFonts w:ascii="Arial" w:cs="Arial" w:eastAsia="Arial" w:hAnsi="Arial"/>
          <w:color w:val="444444"/>
          <w:sz w:val="18"/>
          <w:szCs w:val="18"/>
        </w:rPr>
        <w:t xml:space="preserve"> — Chest pain assessment pathway. Stable angina investigation pathway (exercise testing, referral criteria). GERD pathway for non-cardiac chest pain. Confirms: exertional pattern with risk factors = cardiology referral. Adds: troponin testing recommendation if any atypical features.</w:t>
      </w:r>
    </w:p>
    <w:p>
      <w:pPr>
        <w:spacing w:after="80" w:before="0"/>
        <w:jc w:val="left"/>
      </w:pPr>
      <w:r>
        <w:rPr>
          <w:rFonts w:ascii="Arial" w:cs="Arial" w:eastAsia="Arial" w:hAnsi="Arial"/>
          <w:b/>
          <w:bCs/>
          <w:color w:val="B7950B"/>
          <w:sz w:val="19"/>
          <w:szCs w:val="19"/>
        </w:rPr>
        <w:t xml:space="preserve">ADA</w:t>
      </w:r>
      <w:r>
        <w:rPr>
          <w:rFonts w:ascii="Arial" w:cs="Arial" w:eastAsia="Arial" w:hAnsi="Arial"/>
          <w:color w:val="444444"/>
          <w:sz w:val="18"/>
          <w:szCs w:val="18"/>
        </w:rPr>
        <w:t xml:space="preserve"> — Cardiovascular risk in DM. DM = CHD equivalent (ACC/AHA). Silent ischemia common in DM patients due to cardiac autonomic neuropathy — atypical presentations (dyspnea, fatigue as anginal equivalent). This means DX02 and DX07 priors must be elevated even with atypical symptoms. DM duration &gt;10y + HTN = very high cardiovascular risk.</w:t>
      </w:r>
    </w:p>
    <w:p>
      <w:pPr>
        <w:spacing w:after="80" w:before="0"/>
        <w:jc w:val="left"/>
      </w:pPr>
      <w:r>
        <w:rPr>
          <w:rFonts w:ascii="Arial" w:cs="Arial" w:eastAsia="Arial" w:hAnsi="Arial"/>
          <w:b/>
          <w:bCs/>
          <w:color w:val="922B21"/>
          <w:sz w:val="19"/>
          <w:szCs w:val="19"/>
        </w:rPr>
        <w:t xml:space="preserve">API-ICP</w:t>
      </w:r>
      <w:r>
        <w:rPr>
          <w:rFonts w:ascii="Arial" w:cs="Arial" w:eastAsia="Arial" w:hAnsi="Arial"/>
          <w:color w:val="444444"/>
          <w:sz w:val="18"/>
          <w:szCs w:val="18"/>
        </w:rPr>
        <w:t xml:space="preserve"> — Indian cardiovascular risk profile: CHD presents ~10 years earlier in South Asians. Higher prevalence of premature CAD. Traditional risk calculators may underestimate risk in Indian populations. Informs elevated base priors for DX02 and DX07 compared to Western populations.</w:t>
      </w:r>
    </w:p>
    <w:p>
      <w:pPr>
        <w:spacing w:after="80" w:before="0"/>
        <w:jc w:val="left"/>
      </w:pPr>
      <w:r>
        <w:rPr>
          <w:rFonts w:ascii="Arial" w:cs="Arial" w:eastAsia="Arial" w:hAnsi="Arial"/>
          <w:b/>
          <w:bCs/>
          <w:color w:val="6C3483"/>
          <w:sz w:val="19"/>
          <w:szCs w:val="19"/>
        </w:rPr>
        <w:t xml:space="preserve">McGee</w:t>
      </w:r>
      <w:r>
        <w:rPr>
          <w:rFonts w:ascii="Arial" w:cs="Arial" w:eastAsia="Arial" w:hAnsi="Arial"/>
          <w:color w:val="444444"/>
          <w:sz w:val="18"/>
          <w:szCs w:val="18"/>
        </w:rPr>
        <w:t xml:space="preserve"> — LRs: Exertional pattern LR+ 4.5 for angina. Radiation to left arm LR+ 3.2 for cardiac cause. Positional variation LR+ 2.8 for pericarditis/musculoskeletal. Meal-related LR+ 2.5 for GERD. Sharp/stabbing quality LR+ 0.3 (LR-) for cardiac cause. Note: LRs for chest pain are well-studied and relatively reliable.</w:t>
      </w:r>
    </w:p>
    <w:p>
      <w:pPr>
        <w:spacing w:after="40"/>
      </w:pPr>
    </w:p>
    <w:p>
      <w:pPr>
        <w:pStyle w:val="Heading3"/>
        <w:spacing w:before="180" w:after="90"/>
      </w:pPr>
      <w:r>
        <w:rPr>
          <w:rFonts w:ascii="Arial" w:cs="Arial" w:eastAsia="Arial" w:hAnsi="Arial"/>
        </w:rPr>
        <w:t xml:space="preserve">P09 Source Conflicts and Resolution</w:t>
      </w:r>
    </w:p>
    <w:p>
      <w:pPr>
        <w:spacing w:after="120" w:before="0"/>
        <w:jc w:val="left"/>
      </w:pPr>
      <w:r>
        <w:rPr>
          <w:rFonts w:ascii="Arial" w:cs="Arial" w:eastAsia="Arial" w:hAnsi="Arial"/>
          <w:b w:val="false"/>
          <w:bCs w:val="false"/>
          <w:i w:val="false"/>
          <w:iCs w:val="false"/>
          <w:color w:val="333333"/>
          <w:sz w:val="18"/>
          <w:szCs w:val="18"/>
        </w:rPr>
        <w:t xml:space="preserve">BMJ standard chest pain pathway assumes patients presenting to clinic/ER. WhatsApp sub-acute presentation creates a unique context: the patient has already survived the event (ruling out immediately fatal causes) but may have ongoing unstable disease. API-ICP emphasizes earlier, more aggressive CAD risk in South Asians; BMJ risk assessment may be insufficiently alarming. Resolution: lower threshold for HARD_STOP/RED escalation for any exertional component. DX07 (ACS) never falls below prior floor of 0.08 regardless of context modifiers.</w:t>
      </w:r>
    </w:p>
    <w:p>
      <w:pPr>
        <w:spacing w:after="40"/>
      </w:pPr>
    </w:p>
    <w:p>
      <w:pPr>
        <w:pStyle w:val="Heading3"/>
        <w:spacing w:before="180" w:after="90"/>
      </w:pPr>
      <w:r>
        <w:rPr>
          <w:rFonts w:ascii="Arial" w:cs="Arial" w:eastAsia="Arial" w:hAnsi="Arial"/>
        </w:rPr>
        <w:t xml:space="preserve">P09 Cohort-Specific Considerations (Not in Canon)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770E" w:sz="4"/>
              <w:left w:val="single" w:color="B9770E" w:sz="1"/>
              <w:bottom w:val="single" w:color="B9770E" w:sz="1"/>
              <w:right w:val="single" w:color="B9770E" w:sz="1"/>
            </w:tcBorders>
            <w:shd w:fill="FDEBD0" w:val="clear"/>
            <w:tcMar>
              <w:top w:type="dxa" w:w="90"/>
              <w:left w:type="dxa" w:w="160"/>
              <w:bottom w:type="dxa" w:w="90"/>
              <w:right w:type="dxa" w:w="160"/>
            </w:tcMar>
          </w:tcPr>
          <w:p>
            <w:pPr>
              <w:spacing w:after="50"/>
            </w:pPr>
            <w:r>
              <w:rPr>
                <w:rFonts w:ascii="Arial" w:cs="Arial" w:eastAsia="Arial" w:hAnsi="Arial"/>
                <w:b/>
                <w:bCs/>
                <w:color w:val="B9770E"/>
                <w:sz w:val="18"/>
                <w:szCs w:val="18"/>
              </w:rPr>
              <w:t xml:space="preserve">POPULATION-SPECIFIC FACTORS</w:t>
            </w:r>
          </w:p>
          <w:p>
            <w:pPr>
              <w:spacing w:after="25"/>
              <w:ind w:left="160"/>
            </w:pPr>
            <w:r>
              <w:rPr>
                <w:rFonts w:ascii="Arial" w:cs="Arial" w:eastAsia="Arial" w:hAnsi="Arial"/>
                <w:color w:val="333333"/>
                <w:sz w:val="16"/>
                <w:szCs w:val="16"/>
              </w:rPr>
              <w:t xml:space="preserve">DM+HTN = very high cardiovascular risk. ANY chest symptom in this cohort requires serious</w:t>
            </w:r>
          </w:p>
          <w:p>
            <w:pPr>
              <w:spacing w:after="25"/>
              <w:ind w:left="160"/>
            </w:pPr>
            <w:r>
              <w:rPr>
                <w:rFonts w:ascii="Arial" w:cs="Arial" w:eastAsia="Arial" w:hAnsi="Arial"/>
                <w:color w:val="333333"/>
                <w:sz w:val="16"/>
                <w:szCs w:val="16"/>
              </w:rPr>
              <w:t xml:space="preserve">evaluation. The node's primary job is not diagnosis — it's safe triage. Every exertional or</w:t>
            </w:r>
          </w:p>
          <w:p>
            <w:pPr>
              <w:spacing w:after="25"/>
              <w:ind w:left="160"/>
            </w:pPr>
            <w:r>
              <w:rPr>
                <w:rFonts w:ascii="Arial" w:cs="Arial" w:eastAsia="Arial" w:hAnsi="Arial"/>
                <w:color w:val="333333"/>
                <w:sz w:val="16"/>
                <w:szCs w:val="16"/>
              </w:rPr>
              <w:t xml:space="preserve">cardiac-sounding symptom should generate a RED Decision Card with 4-hour physician SLA. This</w:t>
            </w:r>
          </w:p>
          <w:p>
            <w:pPr>
              <w:spacing w:after="25"/>
              <w:ind w:left="160"/>
            </w:pPr>
            <w:r>
              <w:rPr>
                <w:rFonts w:ascii="Arial" w:cs="Arial" w:eastAsia="Arial" w:hAnsi="Arial"/>
                <w:color w:val="333333"/>
                <w:sz w:val="16"/>
                <w:szCs w:val="16"/>
              </w:rPr>
              <w:t xml:space="preserve">node should have the lowest tolerance for uncertainty and the most aggressive Red Flag Sweep of</w:t>
            </w:r>
          </w:p>
          <w:p>
            <w:pPr>
              <w:spacing w:after="25"/>
              <w:ind w:left="160"/>
            </w:pPr>
            <w:r>
              <w:rPr>
                <w:rFonts w:ascii="Arial" w:cs="Arial" w:eastAsia="Arial" w:hAnsi="Arial"/>
                <w:color w:val="333333"/>
                <w:sz w:val="16"/>
                <w:szCs w:val="16"/>
              </w:rPr>
              <w:t xml:space="preserve">all 10 nodes.</w:t>
            </w:r>
          </w:p>
        </w:tc>
      </w:tr>
    </w:tbl>
    <w:p>
      <w:pPr>
        <w:spacing w:after="40"/>
      </w:pPr>
    </w:p>
    <w:p>
      <w:r>
        <w:br w:type="page"/>
      </w:r>
    </w:p>
    <w:p>
      <w:pPr>
        <w:pStyle w:val="Heading2"/>
        <w:spacing w:before="240" w:after="110"/>
      </w:pPr>
      <w:r>
        <w:rPr>
          <w:rFonts w:ascii="Arial" w:cs="Arial" w:eastAsia="Arial" w:hAnsi="Arial"/>
        </w:rPr>
        <w:t xml:space="preserve">2.10 P10: Headache / Sar Dard</w:t>
      </w:r>
    </w:p>
    <w:p>
      <w:pPr>
        <w:spacing w:after="120" w:before="0"/>
        <w:jc w:val="left"/>
      </w:pPr>
      <w:r>
        <w:rPr>
          <w:rFonts w:ascii="Arial" w:cs="Arial" w:eastAsia="Arial" w:hAnsi="Arial"/>
          <w:b/>
          <w:bCs/>
          <w:color w:val="333333"/>
          <w:sz w:val="20"/>
          <w:szCs w:val="20"/>
        </w:rPr>
        <w:t xml:space="preserve">Priority: MEDIUM</w:t>
      </w:r>
      <w:r>
        <w:rPr>
          <w:rFonts w:ascii="Arial" w:cs="Arial" w:eastAsia="Arial" w:hAnsi="Arial"/>
          <w:color w:val="5D6D7E"/>
          <w:sz w:val="20"/>
          <w:szCs w:val="20"/>
        </w:rPr>
        <w:t xml:space="preserve">  |  Category: Common, usually benign, must screen for emergencies</w:t>
      </w:r>
    </w:p>
    <w:p>
      <w:pPr>
        <w:spacing w:after="120" w:before="0"/>
        <w:jc w:val="left"/>
      </w:pPr>
      <w:r>
        <w:rPr>
          <w:rFonts w:ascii="Arial" w:cs="Arial" w:eastAsia="Arial" w:hAnsi="Arial"/>
          <w:b w:val="false"/>
          <w:bCs w:val="false"/>
          <w:i/>
          <w:iCs/>
          <w:color w:val="5D6D7E"/>
          <w:sz w:val="18"/>
          <w:szCs w:val="18"/>
        </w:rPr>
        <w:t xml:space="preserve">Headache in DM+HTN patients. Most cases are tension-type or migraine. Must screen for hypertensive emergency, stroke/TIA, medication-induced (nitrate, CCB), hypoglycemia-associated headache, and rare emergencies (SAH, meningitis, intracranial mass).</w:t>
      </w:r>
    </w:p>
    <w:p>
      <w:pPr>
        <w:spacing w:after="40"/>
      </w:pPr>
    </w:p>
    <w:p>
      <w:pPr>
        <w:pStyle w:val="Heading3"/>
        <w:spacing w:before="180" w:after="90"/>
      </w:pPr>
      <w:r>
        <w:rPr>
          <w:rFonts w:ascii="Arial" w:cs="Arial" w:eastAsia="Arial" w:hAnsi="Arial"/>
        </w:rPr>
        <w:t xml:space="preserve">P10 Differential Skeleton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ID</w:t>
            </w:r>
          </w:p>
        </w:tc>
        <w:tc>
          <w:tcPr>
            <w:tcW w:type="dxa" w:w="88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Differential</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Tension-Type Headache</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Hypertensive Emergency Headache</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Medication-Induced (nitrate, CCB, ACEi)</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DX04</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Migraine</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Hypoglycemia-Associated Headache</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DX06</w:t>
            </w:r>
          </w:p>
        </w:tc>
        <w:tc>
          <w:tcPr>
            <w:tcW w:type="dxa" w:w="88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TIA/Stroke (headache as presenting symptom)</w:t>
            </w:r>
          </w:p>
        </w:tc>
      </w:tr>
      <w:tr>
        <w:tc>
          <w:tcPr>
            <w:tcW w:type="dxa" w:w="1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DX07</w:t>
            </w:r>
          </w:p>
        </w:tc>
        <w:tc>
          <w:tcPr>
            <w:tcW w:type="dxa" w:w="88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Sinusitis</w:t>
            </w:r>
          </w:p>
        </w:tc>
      </w:tr>
    </w:tbl>
    <w:p>
      <w:pPr>
        <w:spacing w:after="40"/>
      </w:pPr>
    </w:p>
    <w:p>
      <w:pPr>
        <w:pStyle w:val="Heading3"/>
        <w:spacing w:before="180" w:after="90"/>
      </w:pPr>
      <w:r>
        <w:rPr>
          <w:rFonts w:ascii="Arial" w:cs="Arial" w:eastAsia="Arial" w:hAnsi="Arial"/>
        </w:rPr>
        <w:t xml:space="preserve">P10 Archetype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Archetype</w:t>
            </w:r>
          </w:p>
        </w:tc>
        <w:tc>
          <w:tcPr>
            <w:tcW w:type="dxa" w:w="80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Coverage</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Structural</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DX01 Tension,DX04 Migraine,DX07 Sinusitis</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Vascular</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DX02 Hypertensive,DX06 TIA/Stroke</w:t>
            </w:r>
          </w:p>
        </w:tc>
      </w:tr>
      <w:tr>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w:t>
            </w:r>
          </w:p>
        </w:tc>
        <w:tc>
          <w:tcPr>
            <w:tcW w:type="dxa" w:w="80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DX03</w:t>
            </w:r>
          </w:p>
        </w:tc>
      </w:tr>
      <w:tr>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Metabolic</w:t>
            </w:r>
          </w:p>
        </w:tc>
        <w:tc>
          <w:tcPr>
            <w:tcW w:type="dxa" w:w="80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DX05 Hypoglycemia</w:t>
            </w:r>
          </w:p>
        </w:tc>
      </w:tr>
    </w:tbl>
    <w:p>
      <w:pPr>
        <w:spacing w:after="40"/>
      </w:pPr>
    </w:p>
    <w:p>
      <w:pPr>
        <w:pStyle w:val="Heading3"/>
        <w:spacing w:before="180" w:after="90"/>
      </w:pPr>
      <w:r>
        <w:rPr>
          <w:rFonts w:ascii="Arial" w:cs="Arial" w:eastAsia="Arial" w:hAnsi="Arial"/>
        </w:rPr>
        <w:t xml:space="preserve">P10 Canon Source Contributions</w:t>
      </w:r>
    </w:p>
    <w:p>
      <w:pPr>
        <w:spacing w:after="80" w:before="0"/>
        <w:jc w:val="left"/>
      </w:pPr>
      <w:r>
        <w:rPr>
          <w:rFonts w:ascii="Arial" w:cs="Arial" w:eastAsia="Arial" w:hAnsi="Arial"/>
          <w:b/>
          <w:bCs/>
          <w:color w:val="2874A6"/>
          <w:sz w:val="19"/>
          <w:szCs w:val="19"/>
        </w:rPr>
        <w:t xml:space="preserve">BMJ</w:t>
      </w:r>
      <w:r>
        <w:rPr>
          <w:rFonts w:ascii="Arial" w:cs="Arial" w:eastAsia="Arial" w:hAnsi="Arial"/>
          <w:color w:val="444444"/>
          <w:sz w:val="18"/>
          <w:szCs w:val="18"/>
        </w:rPr>
        <w:t xml:space="preserve"> — Approach to headache. Red flag framework: thunderclap headache (SAH), fever with neck stiffness (meningitis), new headache &gt;50 years with scalp tenderness (GCA), progressive headache with papilledema (raised ICP), focal deficit (stroke). Primary headache classification: tension, migraine, cluster.</w:t>
      </w:r>
    </w:p>
    <w:p>
      <w:pPr>
        <w:spacing w:after="80" w:before="0"/>
        <w:jc w:val="left"/>
      </w:pPr>
      <w:r>
        <w:rPr>
          <w:rFonts w:ascii="Arial" w:cs="Arial" w:eastAsia="Arial" w:hAnsi="Arial"/>
          <w:b/>
          <w:bCs/>
          <w:color w:val="1A5276"/>
          <w:sz w:val="19"/>
          <w:szCs w:val="19"/>
        </w:rPr>
        <w:t xml:space="preserve">NICE</w:t>
      </w:r>
      <w:r>
        <w:rPr>
          <w:rFonts w:ascii="Arial" w:cs="Arial" w:eastAsia="Arial" w:hAnsi="Arial"/>
          <w:color w:val="444444"/>
          <w:sz w:val="18"/>
          <w:szCs w:val="18"/>
        </w:rPr>
        <w:t xml:space="preserve"> — Headache pathway. Primary headache diagnosis. Medication overuse headache screening. Confirms red flag list. Adds: headache on waking that improves through day (raised ICP pattern). Referral criteria for imaging.</w:t>
      </w:r>
    </w:p>
    <w:p>
      <w:pPr>
        <w:spacing w:after="80" w:before="0"/>
        <w:jc w:val="left"/>
      </w:pPr>
      <w:r>
        <w:rPr>
          <w:rFonts w:ascii="Arial" w:cs="Arial" w:eastAsia="Arial" w:hAnsi="Arial"/>
          <w:b/>
          <w:bCs/>
          <w:color w:val="B7950B"/>
          <w:sz w:val="19"/>
          <w:szCs w:val="19"/>
        </w:rPr>
        <w:t xml:space="preserve">ADA</w:t>
      </w:r>
      <w:r>
        <w:rPr>
          <w:rFonts w:ascii="Arial" w:cs="Arial" w:eastAsia="Arial" w:hAnsi="Arial"/>
          <w:color w:val="444444"/>
          <w:sz w:val="18"/>
          <w:szCs w:val="18"/>
        </w:rPr>
        <w:t xml:space="preserve"> — Hypoglycemia-associated headache (autonomic symptom). Hyperglycemia can cause headache via osmotic changes. HTN-related headache typically at SBP &gt;180 (hypertensive urgency/emergency). Informs DX02 and DX05 context modifiers based on recent glucose and BP data from KB-20.</w:t>
      </w:r>
    </w:p>
    <w:p>
      <w:pPr>
        <w:spacing w:after="80" w:before="0"/>
        <w:jc w:val="left"/>
      </w:pPr>
      <w:r>
        <w:rPr>
          <w:rFonts w:ascii="Arial" w:cs="Arial" w:eastAsia="Arial" w:hAnsi="Arial"/>
          <w:b/>
          <w:bCs/>
          <w:color w:val="922B21"/>
          <w:sz w:val="19"/>
          <w:szCs w:val="19"/>
        </w:rPr>
        <w:t xml:space="preserve">API-ICP</w:t>
      </w:r>
      <w:r>
        <w:rPr>
          <w:rFonts w:ascii="Arial" w:cs="Arial" w:eastAsia="Arial" w:hAnsi="Arial"/>
          <w:color w:val="444444"/>
          <w:sz w:val="18"/>
          <w:szCs w:val="18"/>
        </w:rPr>
        <w:t xml:space="preserve"> — Indian HTN control rates are poor (overall control 15%). Many patients in this cohort may have undiagnosed or poorly controlled HTN. Nitrate use for concomitant CAD is common and causes headache. InSH 2023 data: hypertensive headache threshold, management. Informs DX02 context modifier: if last recorded SBP &gt;160, DX02 prior elevated.</w:t>
      </w:r>
    </w:p>
    <w:p>
      <w:pPr>
        <w:spacing w:after="80" w:before="0"/>
        <w:jc w:val="left"/>
      </w:pPr>
      <w:r>
        <w:rPr>
          <w:rFonts w:ascii="Arial" w:cs="Arial" w:eastAsia="Arial" w:hAnsi="Arial"/>
          <w:b/>
          <w:bCs/>
          <w:color w:val="6C3483"/>
          <w:sz w:val="19"/>
          <w:szCs w:val="19"/>
        </w:rPr>
        <w:t xml:space="preserve">McGee</w:t>
      </w:r>
      <w:r>
        <w:rPr>
          <w:rFonts w:ascii="Arial" w:cs="Arial" w:eastAsia="Arial" w:hAnsi="Arial"/>
          <w:color w:val="444444"/>
          <w:sz w:val="18"/>
          <w:szCs w:val="18"/>
        </w:rPr>
        <w:t xml:space="preserve"> — LRs: Thunderclap onset LR+ 8.0 for SAH. Bilateral band-like LR+ 2.5 for tension. Unilateral pulsating LR+ 3.0 for migraine. Worst headache of life LR+ 6.0 for serious cause. Focal deficit LR+ 7.0 for stroke/mass.</w:t>
      </w:r>
    </w:p>
    <w:p>
      <w:pPr>
        <w:spacing w:after="40"/>
      </w:pPr>
    </w:p>
    <w:p>
      <w:pPr>
        <w:pStyle w:val="Heading3"/>
        <w:spacing w:before="180" w:after="90"/>
      </w:pPr>
      <w:r>
        <w:rPr>
          <w:rFonts w:ascii="Arial" w:cs="Arial" w:eastAsia="Arial" w:hAnsi="Arial"/>
        </w:rPr>
        <w:t xml:space="preserve">P10 Source Conflicts and Resolution</w:t>
      </w:r>
    </w:p>
    <w:p>
      <w:pPr>
        <w:spacing w:after="120" w:before="0"/>
        <w:jc w:val="left"/>
      </w:pPr>
      <w:r>
        <w:rPr>
          <w:rFonts w:ascii="Arial" w:cs="Arial" w:eastAsia="Arial" w:hAnsi="Arial"/>
          <w:b w:val="false"/>
          <w:bCs w:val="false"/>
          <w:i w:val="false"/>
          <w:iCs w:val="false"/>
          <w:color w:val="333333"/>
          <w:sz w:val="18"/>
          <w:szCs w:val="18"/>
        </w:rPr>
        <w:t xml:space="preserve">BMJ headache pathway is designed for general population where primary headaches dominate. In DM+HTN cohort, medication-related and BP-related causes are much more prevalent. API-ICP poor HTN control rates mean DX02 (hypertensive headache) should have higher prior than BMJ suggests. Resolution: DX02 base prior elevated to 0.20 (vs BMJ-implied ~0.05 in general population). Context modifier: last SBP &gt;160 from KB-20 → DX02 prior +0.25.</w:t>
      </w:r>
    </w:p>
    <w:p>
      <w:pPr>
        <w:spacing w:after="40"/>
      </w:pPr>
    </w:p>
    <w:p>
      <w:pPr>
        <w:pStyle w:val="Heading3"/>
        <w:spacing w:before="180" w:after="90"/>
      </w:pPr>
      <w:r>
        <w:rPr>
          <w:rFonts w:ascii="Arial" w:cs="Arial" w:eastAsia="Arial" w:hAnsi="Arial"/>
        </w:rPr>
        <w:t xml:space="preserve">P10 Cohort-Specific Considerations (Not in Canon)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770E" w:sz="4"/>
              <w:left w:val="single" w:color="B9770E" w:sz="1"/>
              <w:bottom w:val="single" w:color="B9770E" w:sz="1"/>
              <w:right w:val="single" w:color="B9770E" w:sz="1"/>
            </w:tcBorders>
            <w:shd w:fill="FDEBD0" w:val="clear"/>
            <w:tcMar>
              <w:top w:type="dxa" w:w="90"/>
              <w:left w:type="dxa" w:w="160"/>
              <w:bottom w:type="dxa" w:w="90"/>
              <w:right w:type="dxa" w:w="160"/>
            </w:tcMar>
          </w:tcPr>
          <w:p>
            <w:pPr>
              <w:spacing w:after="50"/>
            </w:pPr>
            <w:r>
              <w:rPr>
                <w:rFonts w:ascii="Arial" w:cs="Arial" w:eastAsia="Arial" w:hAnsi="Arial"/>
                <w:b/>
                <w:bCs/>
                <w:color w:val="B9770E"/>
                <w:sz w:val="18"/>
                <w:szCs w:val="18"/>
              </w:rPr>
              <w:t xml:space="preserve">POPULATION-SPECIFIC FACTORS</w:t>
            </w:r>
          </w:p>
          <w:p>
            <w:pPr>
              <w:spacing w:after="25"/>
              <w:ind w:left="160"/>
            </w:pPr>
            <w:r>
              <w:rPr>
                <w:rFonts w:ascii="Arial" w:cs="Arial" w:eastAsia="Arial" w:hAnsi="Arial"/>
                <w:color w:val="333333"/>
                <w:sz w:val="16"/>
                <w:szCs w:val="16"/>
              </w:rPr>
              <w:t xml:space="preserve">Headache is common and usually benign, but in DM+HTN it can signal hypertensive emergency or</w:t>
            </w:r>
          </w:p>
          <w:p>
            <w:pPr>
              <w:spacing w:after="25"/>
              <w:ind w:left="160"/>
            </w:pPr>
            <w:r>
              <w:rPr>
                <w:rFonts w:ascii="Arial" w:cs="Arial" w:eastAsia="Arial" w:hAnsi="Arial"/>
                <w:color w:val="333333"/>
                <w:sz w:val="16"/>
                <w:szCs w:val="16"/>
              </w:rPr>
              <w:t xml:space="preserve">stroke — both require urgent action. The node's primary value is BP-aware triage: if KB-20</w:t>
            </w:r>
          </w:p>
          <w:p>
            <w:pPr>
              <w:spacing w:after="25"/>
              <w:ind w:left="160"/>
            </w:pPr>
            <w:r>
              <w:rPr>
                <w:rFonts w:ascii="Arial" w:cs="Arial" w:eastAsia="Arial" w:hAnsi="Arial"/>
                <w:color w:val="333333"/>
                <w:sz w:val="16"/>
                <w:szCs w:val="16"/>
              </w:rPr>
              <w:t xml:space="preserve">shows recent high BP readings, DX02 escalates rapidly. Medication-induced headache (nitrate,</w:t>
            </w:r>
          </w:p>
          <w:p>
            <w:pPr>
              <w:spacing w:after="25"/>
              <w:ind w:left="160"/>
            </w:pPr>
            <w:r>
              <w:rPr>
                <w:rFonts w:ascii="Arial" w:cs="Arial" w:eastAsia="Arial" w:hAnsi="Arial"/>
                <w:color w:val="333333"/>
                <w:sz w:val="16"/>
                <w:szCs w:val="16"/>
              </w:rPr>
              <w:t xml:space="preserve">CCB) is common and usually diagnosed by temporal correlation with drug start. Cross-node</w:t>
            </w:r>
          </w:p>
          <w:p>
            <w:pPr>
              <w:spacing w:after="25"/>
              <w:ind w:left="160"/>
            </w:pPr>
            <w:r>
              <w:rPr>
                <w:rFonts w:ascii="Arial" w:cs="Arial" w:eastAsia="Arial" w:hAnsi="Arial"/>
                <w:color w:val="333333"/>
                <w:sz w:val="16"/>
                <w:szCs w:val="16"/>
              </w:rPr>
              <w:t xml:space="preserve">sharing: if P01 (Dizziness) also active, concurrent headache + dizziness elevates stroke</w:t>
            </w:r>
          </w:p>
          <w:p>
            <w:pPr>
              <w:spacing w:after="25"/>
              <w:ind w:left="160"/>
            </w:pPr>
            <w:r>
              <w:rPr>
                <w:rFonts w:ascii="Arial" w:cs="Arial" w:eastAsia="Arial" w:hAnsi="Arial"/>
                <w:color w:val="333333"/>
                <w:sz w:val="16"/>
                <w:szCs w:val="16"/>
              </w:rPr>
              <w:t xml:space="preserve">concern significantly.</w:t>
            </w:r>
          </w:p>
        </w:tc>
      </w:tr>
    </w:tbl>
    <w:p>
      <w:pPr>
        <w:spacing w:after="40"/>
      </w:pPr>
    </w:p>
    <w:p>
      <w:r>
        <w:br w:type="page"/>
      </w:r>
    </w:p>
    <w:p>
      <w:pPr>
        <w:pStyle w:val="Heading1"/>
        <w:spacing w:before="300" w:after="130"/>
      </w:pPr>
      <w:r>
        <w:rPr>
          <w:rFonts w:ascii="Arial" w:cs="Arial" w:eastAsia="Arial" w:hAnsi="Arial"/>
        </w:rPr>
        <w:t xml:space="preserve">3. Cross-Node Analysis</w:t>
      </w:r>
    </w:p>
    <w:p>
      <w:pPr>
        <w:pStyle w:val="Heading2"/>
        <w:spacing w:before="240" w:after="110"/>
      </w:pPr>
      <w:r>
        <w:rPr>
          <w:rFonts w:ascii="Arial" w:cs="Arial" w:eastAsia="Arial" w:hAnsi="Arial"/>
        </w:rPr>
        <w:t xml:space="preserve">3.1 Source Coverage Matrix</w:t>
      </w:r>
    </w:p>
    <w:p>
      <w:pPr>
        <w:spacing w:after="120" w:before="0"/>
        <w:jc w:val="left"/>
      </w:pPr>
      <w:r>
        <w:rPr>
          <w:rFonts w:ascii="Arial" w:cs="Arial" w:eastAsia="Arial" w:hAnsi="Arial"/>
          <w:b w:val="false"/>
          <w:bCs w:val="false"/>
          <w:i w:val="false"/>
          <w:iCs w:val="false"/>
          <w:color w:val="333333"/>
          <w:sz w:val="20"/>
          <w:szCs w:val="20"/>
        </w:rPr>
        <w:t xml:space="preserve">Which Canon sources contribute to which nodes. Blank cells indicate the source is not relevant for that node.</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30"/>
        <w:gridCol w:w="1530"/>
        <w:gridCol w:w="1530"/>
        <w:gridCol w:w="1530"/>
        <w:gridCol w:w="1530"/>
        <w:gridCol w:w="1530"/>
      </w:tblGrid>
      <w:tr>
        <w:tc>
          <w:tcPr>
            <w:tcW w:type="dxa" w:w="9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Node</w:t>
            </w:r>
          </w:p>
        </w:tc>
        <w:tc>
          <w:tcPr>
            <w:tcW w:type="dxa" w:w="153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BMJ</w:t>
            </w:r>
          </w:p>
        </w:tc>
        <w:tc>
          <w:tcPr>
            <w:tcW w:type="dxa" w:w="153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NICE</w:t>
            </w:r>
          </w:p>
        </w:tc>
        <w:tc>
          <w:tcPr>
            <w:tcW w:type="dxa" w:w="153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ADA</w:t>
            </w:r>
          </w:p>
        </w:tc>
        <w:tc>
          <w:tcPr>
            <w:tcW w:type="dxa" w:w="153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API-ICP</w:t>
            </w:r>
          </w:p>
        </w:tc>
        <w:tc>
          <w:tcPr>
            <w:tcW w:type="dxa" w:w="153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KDIGO</w:t>
            </w:r>
          </w:p>
        </w:tc>
        <w:tc>
          <w:tcPr>
            <w:tcW w:type="dxa" w:w="153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McGee</w:t>
            </w:r>
          </w:p>
        </w:tc>
      </w:tr>
      <w:tr>
        <w:tc>
          <w:tcPr>
            <w:tcW w:type="dxa" w:w="9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P01</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P02</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r>
      <w:tr>
        <w:tc>
          <w:tcPr>
            <w:tcW w:type="dxa" w:w="9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P03</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P04</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r>
      <w:tr>
        <w:tc>
          <w:tcPr>
            <w:tcW w:type="dxa" w:w="9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P05</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P06</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r>
      <w:tr>
        <w:tc>
          <w:tcPr>
            <w:tcW w:type="dxa" w:w="9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P07</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P08</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r>
      <w:tr>
        <w:tc>
          <w:tcPr>
            <w:tcW w:type="dxa" w:w="9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P09</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P10</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c>
          <w:tcPr>
            <w:tcW w:type="dxa" w:w="153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w:t>
            </w:r>
          </w:p>
        </w:tc>
      </w:tr>
    </w:tbl>
    <w:p>
      <w:pPr>
        <w:spacing w:after="40"/>
      </w:pPr>
    </w:p>
    <w:p>
      <w:pPr>
        <w:pStyle w:val="Heading2"/>
        <w:spacing w:before="240" w:after="110"/>
      </w:pPr>
      <w:r>
        <w:rPr>
          <w:rFonts w:ascii="Arial" w:cs="Arial" w:eastAsia="Arial" w:hAnsi="Arial"/>
        </w:rPr>
        <w:t xml:space="preserve">3.2 Cross-Node Shared Canonical Concepts</w:t>
      </w:r>
    </w:p>
    <w:p>
      <w:pPr>
        <w:spacing w:after="120" w:before="0"/>
        <w:jc w:val="left"/>
      </w:pPr>
      <w:r>
        <w:rPr>
          <w:rFonts w:ascii="Arial" w:cs="Arial" w:eastAsia="Arial" w:hAnsi="Arial"/>
          <w:b w:val="false"/>
          <w:bCs w:val="false"/>
          <w:i w:val="false"/>
          <w:iCs w:val="false"/>
          <w:color w:val="333333"/>
          <w:sz w:val="20"/>
          <w:szCs w:val="20"/>
        </w:rPr>
        <w:t xml:space="preserve">Clinical concepts that appear in multiple nodes and should be asked once, with answers shared across active nodes in a multi-complaint session.</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80"/>
      </w:tblGrid>
      <w:tr>
        <w:tc>
          <w:tcPr>
            <w:tcW w:type="dxa" w:w="22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Concept</w:t>
            </w:r>
          </w:p>
        </w:tc>
        <w:tc>
          <w:tcPr>
            <w:tcW w:type="dxa" w:w="16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Used In</w:t>
            </w:r>
          </w:p>
        </w:tc>
        <w:tc>
          <w:tcPr>
            <w:tcW w:type="dxa" w:w="62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Why Shared</w:t>
            </w:r>
          </w:p>
        </w:tc>
      </w:tr>
      <w:tr>
        <w:tc>
          <w:tcPr>
            <w:tcW w:type="dxa" w:w="2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postural_vs_constant</w:t>
            </w:r>
          </w:p>
        </w:tc>
        <w:tc>
          <w:tcPr>
            <w:tcW w:type="dxa" w:w="1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P01, P08, P10</w:t>
            </w:r>
          </w:p>
        </w:tc>
        <w:tc>
          <w:tcPr>
            <w:tcW w:type="dxa" w:w="62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Postural pattern discriminates orthostatic causes across dizziness, fatigue, and headache</w:t>
            </w:r>
          </w:p>
        </w:tc>
      </w:tr>
      <w:tr>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meal_temporal_relation</w:t>
            </w:r>
          </w:p>
        </w:tc>
        <w:tc>
          <w:tcPr>
            <w:tcW w:type="dxa" w:w="1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P02, P07</w:t>
            </w:r>
          </w:p>
        </w:tc>
        <w:tc>
          <w:tcPr>
            <w:tcW w:type="dxa" w:w="62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Meal timing discriminates reactive hypoglycemia and GI medication intolerance</w:t>
            </w:r>
          </w:p>
        </w:tc>
      </w:tr>
      <w:tr>
        <w:tc>
          <w:tcPr>
            <w:tcW w:type="dxa" w:w="2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medication_temporal_onset</w:t>
            </w:r>
          </w:p>
        </w:tc>
        <w:tc>
          <w:tcPr>
            <w:tcW w:type="dxa" w:w="1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P01, P03, P05, P07, P10</w:t>
            </w:r>
          </w:p>
        </w:tc>
        <w:tc>
          <w:tcPr>
            <w:tcW w:type="dxa" w:w="62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Drug start timing is critical discriminator for medication-related causes across most nodes</w:t>
            </w:r>
          </w:p>
        </w:tc>
      </w:tr>
      <w:tr>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focal_neurological_deficit</w:t>
            </w:r>
          </w:p>
        </w:tc>
        <w:tc>
          <w:tcPr>
            <w:tcW w:type="dxa" w:w="1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P01, P09, P10</w:t>
            </w:r>
          </w:p>
        </w:tc>
        <w:tc>
          <w:tcPr>
            <w:tcW w:type="dxa" w:w="62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Focal deficit is a red flag for stroke/TIA shared across dizziness, chest, and headache</w:t>
            </w:r>
          </w:p>
        </w:tc>
      </w:tr>
      <w:tr>
        <w:tc>
          <w:tcPr>
            <w:tcW w:type="dxa" w:w="2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exertional_pattern</w:t>
            </w:r>
          </w:p>
        </w:tc>
        <w:tc>
          <w:tcPr>
            <w:tcW w:type="dxa" w:w="1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P01, P08, P09</w:t>
            </w:r>
          </w:p>
        </w:tc>
        <w:tc>
          <w:tcPr>
            <w:tcW w:type="dxa" w:w="62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Exertional worsening discriminates cardiac causes across dizziness, fatigue, and chest</w:t>
            </w:r>
          </w:p>
        </w:tc>
      </w:tr>
      <w:tr>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bilateral_vs_unilateral</w:t>
            </w:r>
          </w:p>
        </w:tc>
        <w:tc>
          <w:tcPr>
            <w:tcW w:type="dxa" w:w="1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P03, P06</w:t>
            </w:r>
          </w:p>
        </w:tc>
        <w:tc>
          <w:tcPr>
            <w:tcW w:type="dxa" w:w="62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Bilateral vs unilateral is primary discriminator for edema (DVT vs systemic) and neuropathy (DPN vs radiculopathy)</w:t>
            </w:r>
          </w:p>
        </w:tc>
      </w:tr>
      <w:tr>
        <w:tc>
          <w:tcPr>
            <w:tcW w:type="dxa" w:w="2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dysuria_frequency</w:t>
            </w:r>
          </w:p>
        </w:tc>
        <w:tc>
          <w:tcPr>
            <w:tcW w:type="dxa" w:w="1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P05</w:t>
            </w:r>
          </w:p>
        </w:tc>
        <w:tc>
          <w:tcPr>
            <w:tcW w:type="dxa" w:w="62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UTI screening in polyuria — standalone but may cross-link to P07 if abdominal pain present</w:t>
            </w:r>
          </w:p>
        </w:tc>
      </w:tr>
      <w:tr>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visual_onset_pattern</w:t>
            </w:r>
          </w:p>
        </w:tc>
        <w:tc>
          <w:tcPr>
            <w:tcW w:type="dxa" w:w="1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P04</w:t>
            </w:r>
          </w:p>
        </w:tc>
        <w:tc>
          <w:tcPr>
            <w:tcW w:type="dxa" w:w="62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Sudden vs gradual onset distinguishes emergency (detachment/hemorrhage) from chronic (refractive/cataract)</w:t>
            </w:r>
          </w:p>
        </w:tc>
      </w:tr>
    </w:tbl>
    <w:p>
      <w:pPr>
        <w:spacing w:after="40"/>
      </w:pPr>
    </w:p>
    <w:p>
      <w:pPr>
        <w:pStyle w:val="Heading2"/>
        <w:spacing w:before="240" w:after="110"/>
      </w:pPr>
      <w:r>
        <w:rPr>
          <w:rFonts w:ascii="Arial" w:cs="Arial" w:eastAsia="Arial" w:hAnsi="Arial"/>
        </w:rPr>
        <w:t xml:space="preserve">3.3 Cross-Node Explanatory Matrix</w:t>
      </w:r>
    </w:p>
    <w:p>
      <w:pPr>
        <w:spacing w:after="120" w:before="0"/>
        <w:jc w:val="left"/>
      </w:pPr>
      <w:r>
        <w:rPr>
          <w:rFonts w:ascii="Arial" w:cs="Arial" w:eastAsia="Arial" w:hAnsi="Arial"/>
          <w:b w:val="false"/>
          <w:bCs w:val="false"/>
          <w:i w:val="false"/>
          <w:iCs w:val="false"/>
          <w:color w:val="333333"/>
          <w:sz w:val="20"/>
          <w:szCs w:val="20"/>
        </w:rPr>
        <w:t xml:space="preserve">When one node converges on a high-confidence diagnosis, it should inform other active nodes. These relationships are sparse, clinician-authored, and version-controlled.</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280"/>
      </w:tblGrid>
      <w:tr>
        <w:tc>
          <w:tcPr>
            <w:tcW w:type="dxa" w:w="28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If Node A Converges To</w:t>
            </w:r>
          </w:p>
        </w:tc>
        <w:tc>
          <w:tcPr>
            <w:tcW w:type="dxa" w:w="20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Then In Node B</w:t>
            </w:r>
          </w:p>
        </w:tc>
        <w:tc>
          <w:tcPr>
            <w:tcW w:type="dxa" w:w="52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Adjustment</w:t>
            </w:r>
          </w:p>
        </w:tc>
      </w:tr>
      <w:tr>
        <w:tc>
          <w:tcPr>
            <w:tcW w:type="dxa" w:w="2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P07→DX01 Metformin GI (&gt;0.75)</w:t>
            </w:r>
          </w:p>
        </w:tc>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P08 Fatigue</w:t>
            </w:r>
          </w:p>
        </w:tc>
        <w:tc>
          <w:tcPr>
            <w:tcW w:type="dxa" w:w="52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Add +0.10 to DX02 anemia (B12 depletion) and +0.10 to DX04 medication effect</w:t>
            </w:r>
          </w:p>
        </w:tc>
      </w:tr>
      <w:tr>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P02→DX01 True Hypo (&gt;0.75)</w:t>
            </w:r>
          </w:p>
        </w:tc>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P01 Dizziness</w:t>
            </w:r>
          </w:p>
        </w:tc>
        <w:tc>
          <w:tcPr>
            <w:tcW w:type="dxa" w:w="52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Set DX02 hypoglycemia to 0.90, terminate P01 (cause identified)</w:t>
            </w:r>
          </w:p>
        </w:tc>
      </w:tr>
      <w:tr>
        <w:tc>
          <w:tcPr>
            <w:tcW w:type="dxa" w:w="2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P01→DX01 Orthostatic (&gt;0.75)</w:t>
            </w:r>
          </w:p>
        </w:tc>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P08 Fatigue</w:t>
            </w:r>
          </w:p>
        </w:tc>
        <w:tc>
          <w:tcPr>
            <w:tcW w:type="dxa" w:w="52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Add +0.10 to DX04 medication effect (shared medication cause)</w:t>
            </w:r>
          </w:p>
        </w:tc>
      </w:tr>
      <w:tr>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P05→DX02 SGLT2i Effect (&gt;0.75)</w:t>
            </w:r>
          </w:p>
        </w:tc>
        <w:tc>
          <w:tcPr>
            <w:tcW w:type="dxa" w:w="2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P07 GI Disturb.</w:t>
            </w:r>
          </w:p>
        </w:tc>
        <w:tc>
          <w:tcPr>
            <w:tcW w:type="dxa" w:w="52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Reduce DX01 metformin intolerance by -0.05 (polyuria explained by different drug)</w:t>
            </w:r>
          </w:p>
        </w:tc>
      </w:tr>
      <w:tr>
        <w:tc>
          <w:tcPr>
            <w:tcW w:type="dxa" w:w="2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P06→DX02 B12 Deficiency (&gt;0.75)</w:t>
            </w:r>
          </w:p>
        </w:tc>
        <w:tc>
          <w:tcPr>
            <w:tcW w:type="dxa" w:w="20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P08 Fatigue</w:t>
            </w:r>
          </w:p>
        </w:tc>
        <w:tc>
          <w:tcPr>
            <w:tcW w:type="dxa" w:w="52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Add +0.15 to DX02 anemia (B12 deficiency causes both neuropathy and anemia-fatigue)</w:t>
            </w:r>
          </w:p>
        </w:tc>
      </w:tr>
    </w:tbl>
    <w:p>
      <w:r>
        <w:br w:type="page"/>
      </w:r>
    </w:p>
    <w:p>
      <w:pPr>
        <w:pStyle w:val="Heading1"/>
        <w:spacing w:before="300" w:after="130"/>
      </w:pPr>
      <w:r>
        <w:rPr>
          <w:rFonts w:ascii="Arial" w:cs="Arial" w:eastAsia="Arial" w:hAnsi="Arial"/>
        </w:rPr>
        <w:t xml:space="preserve">4. Canon Update Governance</w:t>
      </w:r>
    </w:p>
    <w:p>
      <w:pPr>
        <w:pStyle w:val="Heading2"/>
        <w:spacing w:before="240" w:after="110"/>
      </w:pPr>
      <w:r>
        <w:rPr>
          <w:rFonts w:ascii="Arial" w:cs="Arial" w:eastAsia="Arial" w:hAnsi="Arial"/>
        </w:rPr>
        <w:t xml:space="preserve">4.1 Canon Review Calendar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1700"/>
        <w:gridCol w:w="3180"/>
      </w:tblGrid>
      <w:tr>
        <w:tc>
          <w:tcPr>
            <w:tcW w:type="dxa" w:w="16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Source</w:t>
            </w:r>
          </w:p>
        </w:tc>
        <w:tc>
          <w:tcPr>
            <w:tcW w:type="dxa" w:w="14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Update Cycle</w:t>
            </w:r>
          </w:p>
        </w:tc>
        <w:tc>
          <w:tcPr>
            <w:tcW w:type="dxa" w:w="22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Review Trigger</w:t>
            </w:r>
          </w:p>
        </w:tc>
        <w:tc>
          <w:tcPr>
            <w:tcW w:type="dxa" w:w="17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Assigned Reviewer</w:t>
            </w:r>
          </w:p>
        </w:tc>
        <w:tc>
          <w:tcPr>
            <w:tcW w:type="dxa" w:w="31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Next Review Due</w:t>
            </w:r>
          </w:p>
        </w:tc>
      </w:tr>
      <w:tr>
        <w:tc>
          <w:tcPr>
            <w:tcW w:type="dxa" w:w="1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ADA Standards</w:t>
            </w:r>
          </w:p>
        </w:tc>
        <w:tc>
          <w:tcPr>
            <w:tcW w:type="dxa" w:w="1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Annual (January)</w:t>
            </w:r>
          </w:p>
        </w:tc>
        <w:tc>
          <w:tcPr>
            <w:tcW w:type="dxa" w:w="2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New edition published</w:t>
            </w:r>
          </w:p>
        </w:tc>
        <w:tc>
          <w:tcPr>
            <w:tcW w:type="dxa" w:w="17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Clinical Advisor</w:t>
            </w:r>
          </w:p>
        </w:tc>
        <w:tc>
          <w:tcPr>
            <w:tcW w:type="dxa" w:w="31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January 2026</w:t>
            </w:r>
          </w:p>
        </w:tc>
      </w:tr>
      <w:tr>
        <w:tc>
          <w:tcPr>
            <w:tcW w:type="dxa" w:w="1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API-ICP Guidelines</w:t>
            </w:r>
          </w:p>
        </w:tc>
        <w:tc>
          <w:tcPr>
            <w:tcW w:type="dxa" w:w="1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Every 3-5 years</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New publication in JAPI</w:t>
            </w:r>
          </w:p>
        </w:tc>
        <w:tc>
          <w:tcPr>
            <w:tcW w:type="dxa" w:w="17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Clinical Advisor</w:t>
            </w:r>
          </w:p>
        </w:tc>
        <w:tc>
          <w:tcPr>
            <w:tcW w:type="dxa" w:w="31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TBD (watch JAPI)</w:t>
            </w:r>
          </w:p>
        </w:tc>
      </w:tr>
      <w:tr>
        <w:tc>
          <w:tcPr>
            <w:tcW w:type="dxa" w:w="1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NICE Pathways</w:t>
            </w:r>
          </w:p>
        </w:tc>
        <w:tc>
          <w:tcPr>
            <w:tcW w:type="dxa" w:w="1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Continuous</w:t>
            </w:r>
          </w:p>
        </w:tc>
        <w:tc>
          <w:tcPr>
            <w:tcW w:type="dxa" w:w="2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Quarterly check of relevant pathways</w:t>
            </w:r>
          </w:p>
        </w:tc>
        <w:tc>
          <w:tcPr>
            <w:tcW w:type="dxa" w:w="17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Clinical Advisor</w:t>
            </w:r>
          </w:p>
        </w:tc>
        <w:tc>
          <w:tcPr>
            <w:tcW w:type="dxa" w:w="31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Quarterly</w:t>
            </w:r>
          </w:p>
        </w:tc>
      </w:tr>
      <w:tr>
        <w:tc>
          <w:tcPr>
            <w:tcW w:type="dxa" w:w="1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KDIGO</w:t>
            </w:r>
          </w:p>
        </w:tc>
        <w:tc>
          <w:tcPr>
            <w:tcW w:type="dxa" w:w="1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Per-topic (variable)</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New guideline publication on CKD/AKI</w:t>
            </w:r>
          </w:p>
        </w:tc>
        <w:tc>
          <w:tcPr>
            <w:tcW w:type="dxa" w:w="17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Nephrologist consultant</w:t>
            </w:r>
          </w:p>
        </w:tc>
        <w:tc>
          <w:tcPr>
            <w:tcW w:type="dxa" w:w="31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TBD</w:t>
            </w:r>
          </w:p>
        </w:tc>
      </w:tr>
      <w:tr>
        <w:tc>
          <w:tcPr>
            <w:tcW w:type="dxa" w:w="1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McGee/JAMA RCE</w:t>
            </w:r>
          </w:p>
        </w:tc>
        <w:tc>
          <w:tcPr>
            <w:tcW w:type="dxa" w:w="1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5-10y (book) / ongoing (articles)</w:t>
            </w:r>
          </w:p>
        </w:tc>
        <w:tc>
          <w:tcPr>
            <w:tcW w:type="dxa" w:w="2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New JAMA RCE article on covered topics</w:t>
            </w:r>
          </w:p>
        </w:tc>
        <w:tc>
          <w:tcPr>
            <w:tcW w:type="dxa" w:w="17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Clinical Advisor</w:t>
            </w:r>
          </w:p>
        </w:tc>
        <w:tc>
          <w:tcPr>
            <w:tcW w:type="dxa" w:w="31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Ongoing PubMed alert</w:t>
            </w:r>
          </w:p>
        </w:tc>
      </w:tr>
      <w:tr>
        <w:tc>
          <w:tcPr>
            <w:tcW w:type="dxa" w:w="1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BMJ Best Practice</w:t>
            </w:r>
          </w:p>
        </w:tc>
        <w:tc>
          <w:tcPr>
            <w:tcW w:type="dxa" w:w="1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Continuous</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Quarterly check of relevant presentations</w:t>
            </w:r>
          </w:p>
        </w:tc>
        <w:tc>
          <w:tcPr>
            <w:tcW w:type="dxa" w:w="17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Clinical Advisor</w:t>
            </w:r>
          </w:p>
        </w:tc>
        <w:tc>
          <w:tcPr>
            <w:tcW w:type="dxa" w:w="31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Quarterly</w:t>
            </w:r>
          </w:p>
        </w:tc>
      </w:tr>
      <w:tr>
        <w:tc>
          <w:tcPr>
            <w:tcW w:type="dxa" w:w="1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InSH</w:t>
            </w:r>
          </w:p>
        </w:tc>
        <w:tc>
          <w:tcPr>
            <w:tcW w:type="dxa" w:w="1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Every 3-5 years</w:t>
            </w:r>
          </w:p>
        </w:tc>
        <w:tc>
          <w:tcPr>
            <w:tcW w:type="dxa" w:w="2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New position statement</w:t>
            </w:r>
          </w:p>
        </w:tc>
        <w:tc>
          <w:tcPr>
            <w:tcW w:type="dxa" w:w="17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Clinical Advisor</w:t>
            </w:r>
          </w:p>
        </w:tc>
        <w:tc>
          <w:tcPr>
            <w:tcW w:type="dxa" w:w="31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TBD</w:t>
            </w:r>
          </w:p>
        </w:tc>
      </w:tr>
    </w:tbl>
    <w:p>
      <w:pPr>
        <w:spacing w:after="40"/>
      </w:pPr>
    </w:p>
    <w:p>
      <w:pPr>
        <w:pStyle w:val="Heading2"/>
        <w:spacing w:before="240" w:after="110"/>
      </w:pPr>
      <w:r>
        <w:rPr>
          <w:rFonts w:ascii="Arial" w:cs="Arial" w:eastAsia="Arial" w:hAnsi="Arial"/>
        </w:rPr>
        <w:t xml:space="preserve">4.2 Source Conflict Resolution Protocol</w:t>
      </w:r>
    </w:p>
    <w:p>
      <w:pPr>
        <w:spacing w:after="120" w:before="0"/>
        <w:jc w:val="left"/>
      </w:pPr>
      <w:r>
        <w:rPr>
          <w:rFonts w:ascii="Arial" w:cs="Arial" w:eastAsia="Arial" w:hAnsi="Arial"/>
          <w:b w:val="false"/>
          <w:bCs w:val="false"/>
          <w:i w:val="false"/>
          <w:iCs w:val="false"/>
          <w:color w:val="333333"/>
          <w:sz w:val="20"/>
          <w:szCs w:val="20"/>
        </w:rPr>
        <w:t xml:space="preserve">When Canon sources disagree, the clinical advisor documents the conflict, both positions, and the resolution rationale in the source_conflicts registry table. General resolution principles:</w:t>
      </w:r>
    </w:p>
    <w:p>
      <w:pPr>
        <w:spacing w:after="40"/>
      </w:pPr>
    </w:p>
    <w:p>
      <w:pPr>
        <w:pStyle w:val="ListParagraph"/>
        <w:numPr>
          <w:ilvl w:val="0"/>
          <w:numId w:val="2"/>
        </w:numPr>
        <w:spacing w:after="50"/>
      </w:pPr>
      <w:r>
        <w:rPr>
          <w:rFonts w:ascii="Arial" w:cs="Arial" w:eastAsia="Arial" w:hAnsi="Arial"/>
          <w:b/>
          <w:bCs/>
          <w:sz w:val="20"/>
          <w:szCs w:val="20"/>
        </w:rPr>
        <w:t xml:space="preserve">Population-specific decisions: </w:t>
      </w:r>
      <w:r>
        <w:rPr>
          <w:rFonts w:ascii="Arial" w:cs="Arial" w:eastAsia="Arial" w:hAnsi="Arial"/>
          <w:sz w:val="20"/>
          <w:szCs w:val="20"/>
        </w:rPr>
        <w:t xml:space="preserve">Favor API-ICP/InSH for Indian-specific drug combinations, dietary context, and risk profiles.</w:t>
      </w:r>
    </w:p>
    <w:p>
      <w:pPr>
        <w:pStyle w:val="ListParagraph"/>
        <w:numPr>
          <w:ilvl w:val="0"/>
          <w:numId w:val="2"/>
        </w:numPr>
        <w:spacing w:after="50"/>
      </w:pPr>
      <w:r>
        <w:rPr>
          <w:rFonts w:ascii="Arial" w:cs="Arial" w:eastAsia="Arial" w:hAnsi="Arial"/>
          <w:b/>
          <w:bCs/>
          <w:sz w:val="20"/>
          <w:szCs w:val="20"/>
        </w:rPr>
        <w:t xml:space="preserve">Evidence-grade clinical thresholds: </w:t>
      </w:r>
      <w:r>
        <w:rPr>
          <w:rFonts w:ascii="Arial" w:cs="Arial" w:eastAsia="Arial" w:hAnsi="Arial"/>
          <w:sz w:val="20"/>
          <w:szCs w:val="20"/>
        </w:rPr>
        <w:t xml:space="preserve">Favor ADA/KDIGO for glucose targets, eGFR thresholds, hypoglycemia classification.</w:t>
      </w:r>
    </w:p>
    <w:p>
      <w:pPr>
        <w:pStyle w:val="ListParagraph"/>
        <w:numPr>
          <w:ilvl w:val="0"/>
          <w:numId w:val="2"/>
        </w:numPr>
        <w:spacing w:after="50"/>
      </w:pPr>
      <w:r>
        <w:rPr>
          <w:rFonts w:ascii="Arial" w:cs="Arial" w:eastAsia="Arial" w:hAnsi="Arial"/>
          <w:b/>
          <w:bCs/>
          <w:sz w:val="20"/>
          <w:szCs w:val="20"/>
        </w:rPr>
        <w:t xml:space="preserve">Red flag completeness: </w:t>
      </w:r>
      <w:r>
        <w:rPr>
          <w:rFonts w:ascii="Arial" w:cs="Arial" w:eastAsia="Arial" w:hAnsi="Arial"/>
          <w:sz w:val="20"/>
          <w:szCs w:val="20"/>
        </w:rPr>
        <w:t xml:space="preserve">Union of BMJ + NICE red flags. If either source flags it, include it. Err on safety side.</w:t>
      </w:r>
    </w:p>
    <w:p>
      <w:pPr>
        <w:pStyle w:val="ListParagraph"/>
        <w:numPr>
          <w:ilvl w:val="0"/>
          <w:numId w:val="2"/>
        </w:numPr>
        <w:spacing w:after="50"/>
      </w:pPr>
      <w:r>
        <w:rPr>
          <w:rFonts w:ascii="Arial" w:cs="Arial" w:eastAsia="Arial" w:hAnsi="Arial"/>
          <w:b/>
          <w:bCs/>
          <w:sz w:val="20"/>
          <w:szCs w:val="20"/>
        </w:rPr>
        <w:t xml:space="preserve">Likelihood ratios: </w:t>
      </w:r>
      <w:r>
        <w:rPr>
          <w:rFonts w:ascii="Arial" w:cs="Arial" w:eastAsia="Arial" w:hAnsi="Arial"/>
          <w:sz w:val="20"/>
          <w:szCs w:val="20"/>
        </w:rPr>
        <w:t xml:space="preserve">McGee/JAMA RCE as starting point, with documented attenuation for patient-reported WhatsApp modality.</w:t>
      </w:r>
    </w:p>
    <w:p>
      <w:r>
        <w:br w:type="page"/>
      </w:r>
    </w:p>
    <w:p>
      <w:pPr>
        <w:pStyle w:val="Heading1"/>
        <w:spacing w:before="300" w:after="130"/>
      </w:pPr>
      <w:r>
        <w:rPr>
          <w:rFonts w:ascii="Arial" w:cs="Arial" w:eastAsia="Arial" w:hAnsi="Arial"/>
        </w:rPr>
        <w:t xml:space="preserve">5. Clinical Source Registry — Database Schema</w:t>
      </w:r>
    </w:p>
    <w:p>
      <w:pPr>
        <w:spacing w:after="120" w:before="0"/>
        <w:jc w:val="left"/>
      </w:pPr>
      <w:r>
        <w:rPr>
          <w:rFonts w:ascii="Arial" w:cs="Arial" w:eastAsia="Arial" w:hAnsi="Arial"/>
          <w:b w:val="false"/>
          <w:bCs w:val="false"/>
          <w:i w:val="false"/>
          <w:iCs w:val="false"/>
          <w:color w:val="333333"/>
          <w:sz w:val="20"/>
          <w:szCs w:val="20"/>
        </w:rPr>
        <w:t xml:space="preserve">The Clinical Source Registry is the database-level governance infrastructure that tracks provenance of every clinical decision element. Six core tables provide complete traceability from Canon source to YAML encoding to cohort calibration. The full migration file (V001_clinical_source_registry.sql) accompanies this document.</w:t>
      </w:r>
    </w:p>
    <w:p>
      <w:pPr>
        <w:spacing w:after="40"/>
      </w:pPr>
    </w:p>
    <w:p>
      <w:pPr>
        <w:pStyle w:val="Heading2"/>
        <w:spacing w:before="240" w:after="110"/>
      </w:pPr>
      <w:r>
        <w:rPr>
          <w:rFonts w:ascii="Arial" w:cs="Arial" w:eastAsia="Arial" w:hAnsi="Arial"/>
        </w:rPr>
        <w:t xml:space="preserve">5.1 Schema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3180"/>
      </w:tblGrid>
      <w:tr>
        <w:tc>
          <w:tcPr>
            <w:tcW w:type="dxa" w:w="17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Table</w:t>
            </w:r>
          </w:p>
        </w:tc>
        <w:tc>
          <w:tcPr>
            <w:tcW w:type="dxa" w:w="24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Purpose</w:t>
            </w:r>
          </w:p>
        </w:tc>
        <w:tc>
          <w:tcPr>
            <w:tcW w:type="dxa" w:w="28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Key Fields</w:t>
            </w:r>
          </w:p>
        </w:tc>
        <w:tc>
          <w:tcPr>
            <w:tcW w:type="dxa" w:w="31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Rows Per Node</w:t>
            </w:r>
          </w:p>
        </w:tc>
      </w:tr>
      <w:tr>
        <w:tc>
          <w:tcPr>
            <w:tcW w:type="dxa" w:w="17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clinical_sources</w:t>
            </w:r>
          </w:p>
        </w:tc>
        <w:tc>
          <w:tcPr>
            <w:tcW w:type="dxa" w:w="2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Master reference metadata for Canon, Runtime KB, and Cohort sources</w:t>
            </w:r>
          </w:p>
        </w:tc>
        <w:tc>
          <w:tcPr>
            <w:tcW w:type="dxa" w:w="2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code, name, type, source_category, license_type, runtime_allowed, update_cycle</w:t>
            </w:r>
          </w:p>
        </w:tc>
        <w:tc>
          <w:tcPr>
            <w:tcW w:type="dxa" w:w="31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N/A (global: ~15 rows total)</w:t>
            </w:r>
          </w:p>
        </w:tc>
      </w:tr>
      <w:tr>
        <w:tc>
          <w:tcPr>
            <w:tcW w:type="dxa" w:w="17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node_derivations</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How each node was constructed from Canon sources</w:t>
            </w:r>
          </w:p>
        </w:tc>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node_id, source_id, structural_reference, differentials_retained/added/excluded, rationale</w:t>
            </w:r>
          </w:p>
        </w:tc>
        <w:tc>
          <w:tcPr>
            <w:tcW w:type="dxa" w:w="31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5-7 per node (one per source consulted)</w:t>
            </w:r>
          </w:p>
        </w:tc>
      </w:tr>
      <w:tr>
        <w:tc>
          <w:tcPr>
            <w:tcW w:type="dxa" w:w="17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element_attributions</w:t>
            </w:r>
          </w:p>
        </w:tc>
        <w:tc>
          <w:tcPr>
            <w:tcW w:type="dxa" w:w="2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Per-element source tracing for red flags, LRs, context modifiers, differentials</w:t>
            </w:r>
          </w:p>
        </w:tc>
        <w:tc>
          <w:tcPr>
            <w:tcW w:type="dxa" w:w="2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node_id, element_type, element_key, source_id, confidence_level, etiologic_archetype, canonical_concept_id</w:t>
            </w:r>
          </w:p>
        </w:tc>
        <w:tc>
          <w:tcPr>
            <w:tcW w:type="dxa" w:w="31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30-50 per node</w:t>
            </w:r>
          </w:p>
        </w:tc>
      </w:tr>
      <w:tr>
        <w:tc>
          <w:tcPr>
            <w:tcW w:type="dxa" w:w="17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canonical_concepts</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Cross-node shared clinical concepts</w:t>
            </w:r>
          </w:p>
        </w:tc>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concept_id, used_in_nodes, extraction_mode, hindi_variants, expected_pata_nahi_rate</w:t>
            </w:r>
          </w:p>
        </w:tc>
        <w:tc>
          <w:tcPr>
            <w:tcW w:type="dxa" w:w="31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~20 total across all nodes</w:t>
            </w:r>
          </w:p>
        </w:tc>
      </w:tr>
      <w:tr>
        <w:tc>
          <w:tcPr>
            <w:tcW w:type="dxa" w:w="17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calibration_events</w:t>
            </w:r>
          </w:p>
        </w:tc>
        <w:tc>
          <w:tcPr>
            <w:tcW w:type="dxa" w:w="2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Full recalibration audit trail with M8 validation</w:t>
            </w:r>
          </w:p>
        </w:tc>
        <w:tc>
          <w:tcPr>
            <w:tcW w:type="dxa" w:w="2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node_id, trigger_type, trigger_layer, old/new_value, evidence_package, proposed_by, reviewed_by, m8_validation_result</w:t>
            </w:r>
          </w:p>
        </w:tc>
        <w:tc>
          <w:tcPr>
            <w:tcW w:type="dxa" w:w="31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Grows over time (~5-10 per node per quarter)</w:t>
            </w:r>
          </w:p>
        </w:tc>
      </w:tr>
      <w:tr>
        <w:tc>
          <w:tcPr>
            <w:tcW w:type="dxa" w:w="17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source_conflicts</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Canon source disagreement resolution</w:t>
            </w:r>
          </w:p>
        </w:tc>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node_id, sources_in_conflict, conflict_description, resolution, resolution_rationale</w:t>
            </w:r>
          </w:p>
        </w:tc>
        <w:tc>
          <w:tcPr>
            <w:tcW w:type="dxa" w:w="31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1-3 per node where conflicts exist</w:t>
            </w:r>
          </w:p>
        </w:tc>
      </w:tr>
    </w:tbl>
    <w:p>
      <w:pPr>
        <w:spacing w:after="40"/>
      </w:pPr>
    </w:p>
    <w:p>
      <w:pPr>
        <w:pStyle w:val="Heading2"/>
        <w:spacing w:before="240" w:after="110"/>
      </w:pPr>
      <w:r>
        <w:rPr>
          <w:rFonts w:ascii="Arial" w:cs="Arial" w:eastAsia="Arial" w:hAnsi="Arial"/>
        </w:rPr>
        <w:t xml:space="preserve">5.2 Governance Views</w:t>
      </w:r>
    </w:p>
    <w:p>
      <w:pPr>
        <w:spacing w:after="120" w:before="0"/>
        <w:jc w:val="left"/>
      </w:pPr>
      <w:r>
        <w:rPr>
          <w:rFonts w:ascii="Arial" w:cs="Arial" w:eastAsia="Arial" w:hAnsi="Arial"/>
          <w:b w:val="false"/>
          <w:bCs w:val="false"/>
          <w:i w:val="false"/>
          <w:iCs w:val="false"/>
          <w:color w:val="333333"/>
          <w:sz w:val="20"/>
          <w:szCs w:val="20"/>
        </w:rPr>
        <w:t xml:space="preserve">Five pre-built database views support operational governance:</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80"/>
      </w:tblGrid>
      <w:tr>
        <w:tc>
          <w:tcPr>
            <w:tcW w:type="dxa" w:w="24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View</w:t>
            </w:r>
          </w:p>
        </w:tc>
        <w:tc>
          <w:tcPr>
            <w:tcW w:type="dxa" w:w="42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Purpose</w:t>
            </w:r>
          </w:p>
        </w:tc>
        <w:tc>
          <w:tcPr>
            <w:tcW w:type="dxa" w:w="34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Used By</w:t>
            </w:r>
          </w:p>
        </w:tc>
      </w:tr>
      <w:tr>
        <w:tc>
          <w:tcPr>
            <w:tcW w:type="dxa" w:w="2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v_node_source_coverage</w:t>
            </w:r>
          </w:p>
        </w:tc>
        <w:tc>
          <w:tcPr>
            <w:tcW w:type="dxa" w:w="4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Shows which Canon sources were consulted for each node and when last reviewed</w:t>
            </w:r>
          </w:p>
        </w:tc>
        <w:tc>
          <w:tcPr>
            <w:tcW w:type="dxa" w:w="34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Clinical Advisor during quarterly Canon review</w:t>
            </w:r>
          </w:p>
        </w:tc>
      </w:tr>
      <w:tr>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v_elements_pending_validation</w:t>
            </w:r>
          </w:p>
        </w:tc>
        <w:tc>
          <w:tcPr>
            <w:tcW w:type="dxa" w:w="4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Lists all elements with confidence level 'estimated' or 'consensus' that lack cohort validation</w:t>
            </w:r>
          </w:p>
        </w:tc>
        <w:tc>
          <w:tcPr>
            <w:tcW w:type="dxa" w:w="34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Clinical Advisor prioritizing recalibration efforts</w:t>
            </w:r>
          </w:p>
        </w:tc>
      </w:tr>
      <w:tr>
        <w:tc>
          <w:tcPr>
            <w:tcW w:type="dxa" w:w="2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v_sources_due_for_review</w:t>
            </w:r>
          </w:p>
        </w:tc>
        <w:tc>
          <w:tcPr>
            <w:tcW w:type="dxa" w:w="4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Flags Canon sources that are overdue or upcoming for review based on update cycle</w:t>
            </w:r>
          </w:p>
        </w:tc>
        <w:tc>
          <w:tcPr>
            <w:tcW w:type="dxa" w:w="34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Clinical operations scheduling</w:t>
            </w:r>
          </w:p>
        </w:tc>
      </w:tr>
      <w:tr>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v_calibration_timeline</w:t>
            </w:r>
          </w:p>
        </w:tc>
        <w:tc>
          <w:tcPr>
            <w:tcW w:type="dxa" w:w="4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Chronological history of all changes to a node with quality metrics</w:t>
            </w:r>
          </w:p>
        </w:tc>
        <w:tc>
          <w:tcPr>
            <w:tcW w:type="dxa" w:w="34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Regulatory defense, audit trail</w:t>
            </w:r>
          </w:p>
        </w:tc>
      </w:tr>
      <w:tr>
        <w:tc>
          <w:tcPr>
            <w:tcW w:type="dxa" w:w="24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bCs/>
                <w:i w:val="false"/>
                <w:iCs w:val="false"/>
                <w:color w:val="333333"/>
                <w:sz w:val="16"/>
                <w:szCs w:val="16"/>
              </w:rPr>
              <w:t xml:space="preserve">v_active_conflicts</w:t>
            </w:r>
          </w:p>
        </w:tc>
        <w:tc>
          <w:tcPr>
            <w:tcW w:type="dxa" w:w="42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Unresolved source conflicts requiring clinical attention</w:t>
            </w:r>
          </w:p>
        </w:tc>
        <w:tc>
          <w:tcPr>
            <w:tcW w:type="dxa" w:w="34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Clinical Advisor conflict resolution</w:t>
            </w:r>
          </w:p>
        </w:tc>
      </w:tr>
    </w:tbl>
    <w:p>
      <w:pPr>
        <w:spacing w:after="40"/>
      </w:pPr>
    </w:p>
    <w:p>
      <w:pPr>
        <w:pStyle w:val="Heading2"/>
        <w:spacing w:before="240" w:after="110"/>
      </w:pPr>
      <w:r>
        <w:rPr>
          <w:rFonts w:ascii="Arial" w:cs="Arial" w:eastAsia="Arial" w:hAnsi="Arial"/>
        </w:rPr>
        <w:t xml:space="preserve">5.3 Validation Constraints</w:t>
      </w:r>
    </w:p>
    <w:p>
      <w:pPr>
        <w:spacing w:after="120" w:before="0"/>
        <w:jc w:val="left"/>
      </w:pPr>
      <w:r>
        <w:rPr>
          <w:rFonts w:ascii="Arial" w:cs="Arial" w:eastAsia="Arial" w:hAnsi="Arial"/>
          <w:b w:val="false"/>
          <w:bCs w:val="false"/>
          <w:i w:val="false"/>
          <w:iCs w:val="false"/>
          <w:color w:val="333333"/>
          <w:sz w:val="20"/>
          <w:szCs w:val="20"/>
        </w:rPr>
        <w:t xml:space="preserve">The schema enforces three critical safety constraints at the database level:</w:t>
      </w:r>
    </w:p>
    <w:p>
      <w:pPr>
        <w:spacing w:after="40"/>
      </w:pPr>
    </w:p>
    <w:p>
      <w:pPr>
        <w:pStyle w:val="ListParagraph"/>
        <w:numPr>
          <w:ilvl w:val="0"/>
          <w:numId w:val="3"/>
        </w:numPr>
        <w:spacing w:after="50"/>
      </w:pPr>
      <w:r>
        <w:rPr>
          <w:rFonts w:ascii="Arial" w:cs="Arial" w:eastAsia="Arial" w:hAnsi="Arial"/>
          <w:b/>
          <w:bCs/>
          <w:sz w:val="20"/>
          <w:szCs w:val="20"/>
        </w:rPr>
        <w:t xml:space="preserve">Version increment: </w:t>
      </w:r>
      <w:r>
        <w:rPr>
          <w:rFonts w:ascii="Arial" w:cs="Arial" w:eastAsia="Arial" w:hAnsi="Arial"/>
          <w:sz w:val="20"/>
          <w:szCs w:val="20"/>
        </w:rPr>
        <w:t xml:space="preserve">Every calibration event must produce a higher version number (version_after &gt; version_before). No silent changes.</w:t>
      </w:r>
    </w:p>
    <w:p>
      <w:pPr>
        <w:pStyle w:val="ListParagraph"/>
        <w:numPr>
          <w:ilvl w:val="0"/>
          <w:numId w:val="3"/>
        </w:numPr>
        <w:spacing w:after="50"/>
      </w:pPr>
      <w:r>
        <w:rPr>
          <w:rFonts w:ascii="Arial" w:cs="Arial" w:eastAsia="Arial" w:hAnsi="Arial"/>
          <w:b/>
          <w:bCs/>
          <w:sz w:val="20"/>
          <w:szCs w:val="20"/>
        </w:rPr>
        <w:t xml:space="preserve">Red flag sensitivity: </w:t>
      </w:r>
      <w:r>
        <w:rPr>
          <w:rFonts w:ascii="Arial" w:cs="Arial" w:eastAsia="Arial" w:hAnsi="Arial"/>
          <w:sz w:val="20"/>
          <w:szCs w:val="20"/>
        </w:rPr>
        <w:t xml:space="preserve">When M8 validation is recorded, red_flag_sensitivity must equal 1.00. No node ships with a missed red flag.</w:t>
      </w:r>
    </w:p>
    <w:p>
      <w:pPr>
        <w:pStyle w:val="ListParagraph"/>
        <w:numPr>
          <w:ilvl w:val="0"/>
          <w:numId w:val="3"/>
        </w:numPr>
        <w:spacing w:after="50"/>
      </w:pPr>
      <w:r>
        <w:rPr>
          <w:rFonts w:ascii="Arial" w:cs="Arial" w:eastAsia="Arial" w:hAnsi="Arial"/>
          <w:b/>
          <w:bCs/>
          <w:sz w:val="20"/>
          <w:szCs w:val="20"/>
        </w:rPr>
        <w:t xml:space="preserve">Canon isolation: </w:t>
      </w:r>
      <w:r>
        <w:rPr>
          <w:rFonts w:ascii="Arial" w:cs="Arial" w:eastAsia="Arial" w:hAnsi="Arial"/>
          <w:sz w:val="20"/>
          <w:szCs w:val="20"/>
        </w:rPr>
        <w:t xml:space="preserve">Sources with source_category = 'canon' cannot have runtime_allowed = TRUE. External guidelines never become runtime dependencies.</w:t>
      </w:r>
    </w:p>
    <w:p>
      <w:r>
        <w:br w:type="page"/>
      </w:r>
    </w:p>
    <w:p>
      <w:pPr>
        <w:pStyle w:val="Heading1"/>
        <w:spacing w:before="300" w:after="130"/>
      </w:pPr>
      <w:r>
        <w:rPr>
          <w:rFonts w:ascii="Arial" w:cs="Arial" w:eastAsia="Arial" w:hAnsi="Arial"/>
        </w:rPr>
        <w:t xml:space="preserve">6. Authoring Workflow</w:t>
      </w:r>
    </w:p>
    <w:p>
      <w:pPr>
        <w:spacing w:after="120" w:before="0"/>
        <w:jc w:val="left"/>
      </w:pPr>
      <w:r>
        <w:rPr>
          <w:rFonts w:ascii="Arial" w:cs="Arial" w:eastAsia="Arial" w:hAnsi="Arial"/>
          <w:b w:val="false"/>
          <w:bCs w:val="false"/>
          <w:i w:val="false"/>
          <w:iCs w:val="false"/>
          <w:color w:val="333333"/>
          <w:sz w:val="20"/>
          <w:szCs w:val="20"/>
        </w:rPr>
        <w:t xml:space="preserve">The complete lifecycle of a Presentation Node from Canon sources to deployed YAML:</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Step</w:t>
            </w:r>
          </w:p>
        </w:tc>
        <w:tc>
          <w:tcPr>
            <w:tcW w:type="dxa" w:w="8480"/>
            <w:tcBorders>
              <w:top w:val="single" w:color="7F8C8D" w:sz="1"/>
              <w:left w:val="single" w:color="7F8C8D" w:sz="1"/>
              <w:bottom w:val="single" w:color="7F8C8D" w:sz="1"/>
              <w:right w:val="single" w:color="7F8C8D" w:sz="1"/>
            </w:tcBorders>
            <w:shd w:fill="1B4F72" w:val="clear"/>
            <w:tcMar>
              <w:top w:type="dxa" w:w="50"/>
              <w:left w:type="dxa" w:w="80"/>
              <w:bottom w:type="dxa" w:w="50"/>
              <w:right w:type="dxa" w:w="80"/>
            </w:tcMar>
            <w:vAlign w:val="center"/>
          </w:tcPr>
          <w:p>
            <w:pPr>
              <w:spacing w:after="0"/>
            </w:pPr>
            <w:r>
              <w:rPr>
                <w:rFonts w:ascii="Arial" w:cs="Arial" w:eastAsia="Arial" w:hAnsi="Arial"/>
                <w:b/>
                <w:bCs/>
                <w:color w:val="FFFFFF"/>
                <w:sz w:val="16"/>
                <w:szCs w:val="16"/>
              </w:rPr>
              <w:t xml:space="preserve">Detail</w:t>
            </w:r>
          </w:p>
        </w:tc>
      </w:tr>
      <w:tr>
        <w:tc>
          <w:tcPr>
            <w:tcW w:type="dxa" w:w="1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1. Select Node</w:t>
            </w:r>
          </w:p>
        </w:tc>
        <w:tc>
          <w:tcPr>
            <w:tcW w:type="dxa" w:w="84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Clinical Advisor selects next presentation node from the priority queue (Critical nodes first, then High, then Medium).</w:t>
            </w:r>
          </w:p>
        </w:tc>
      </w:tr>
      <w:tr>
        <w:tc>
          <w:tcPr>
            <w:tcW w:type="dxa" w:w="1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2. Canon Review</w:t>
            </w:r>
          </w:p>
        </w:tc>
        <w:tc>
          <w:tcPr>
            <w:tcW w:type="dxa" w:w="84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Author reviews all relevant Canon sources for this presentation. Fills Structured Abstraction Template mapping each source to extracted elements.</w:t>
            </w:r>
          </w:p>
        </w:tc>
      </w:tr>
      <w:tr>
        <w:tc>
          <w:tcPr>
            <w:tcW w:type="dxa" w:w="1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3. Draft YAML</w:t>
            </w:r>
          </w:p>
        </w:tc>
        <w:tc>
          <w:tcPr>
            <w:tcW w:type="dxa" w:w="84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Author encodes differentials, red flags, questions, LRs, context modifiers into canonical YAML schema. Tags every element with source attribution.</w:t>
            </w:r>
          </w:p>
        </w:tc>
      </w:tr>
      <w:tr>
        <w:tc>
          <w:tcPr>
            <w:tcW w:type="dxa" w:w="1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4. Registry Entry</w:t>
            </w:r>
          </w:p>
        </w:tc>
        <w:tc>
          <w:tcPr>
            <w:tcW w:type="dxa" w:w="84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Author creates node_derivations row per Canon source consulted. Creates element_attributions row per clinical element. Logs any source_conflicts encountered.</w:t>
            </w:r>
          </w:p>
        </w:tc>
      </w:tr>
      <w:tr>
        <w:tc>
          <w:tcPr>
            <w:tcW w:type="dxa" w:w="1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5. Peer Review</w:t>
            </w:r>
          </w:p>
        </w:tc>
        <w:tc>
          <w:tcPr>
            <w:tcW w:type="dxa" w:w="84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Second clinician reviews YAML independently. Checks: archetype coverage complete, red flag sweep comprehensive, LR values clinically reasonable, context modifiers appropriate for Indian DM+HTN cohort.</w:t>
            </w:r>
          </w:p>
        </w:tc>
      </w:tr>
      <w:tr>
        <w:tc>
          <w:tcPr>
            <w:tcW w:type="dxa" w:w="1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6. M8 Validation</w:t>
            </w:r>
          </w:p>
        </w:tc>
        <w:tc>
          <w:tcPr>
            <w:tcW w:type="dxa" w:w="84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Run 100 synthetic patients through Bayesian engine. Verify: red flag sensitivity = 1.00, top-1 accuracy &gt;= 0.75, calibration curve acceptable, closure guard fires appropriately.</w:t>
            </w:r>
          </w:p>
        </w:tc>
      </w:tr>
      <w:tr>
        <w:tc>
          <w:tcPr>
            <w:tcW w:type="dxa" w:w="16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7. Version Freeze</w:t>
            </w:r>
          </w:p>
        </w:tc>
        <w:tc>
          <w:tcPr>
            <w:tcW w:type="dxa" w:w="848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YAML frozen with version number. Deployed to KB-22 staging environment. All registry entries finalized.</w:t>
            </w:r>
          </w:p>
        </w:tc>
      </w:tr>
      <w:tr>
        <w:tc>
          <w:tcPr>
            <w:tcW w:type="dxa" w:w="16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8. Deploy</w:t>
            </w:r>
          </w:p>
        </w:tc>
        <w:tc>
          <w:tcPr>
            <w:tcW w:type="dxa" w:w="848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0"/>
            </w:pPr>
            <w:r>
              <w:rPr>
                <w:rFonts w:ascii="Arial" w:cs="Arial" w:eastAsia="Arial" w:hAnsi="Arial"/>
                <w:b w:val="false"/>
                <w:bCs w:val="false"/>
                <w:i w:val="false"/>
                <w:iCs w:val="false"/>
                <w:color w:val="333333"/>
                <w:sz w:val="16"/>
                <w:szCs w:val="16"/>
              </w:rPr>
              <w:t xml:space="preserve">Promoted to production. 48-hour rollback window. Monitoring via Quality Dashboard (Layer 2: physician agreement tracking begins).</w:t>
            </w:r>
          </w:p>
        </w:tc>
      </w:tr>
    </w:tbl>
    <w:p>
      <w:pPr>
        <w:spacing w:after="200"/>
      </w:pPr>
    </w:p>
    <w:p>
      <w:pPr>
        <w:pBdr>
          <w:top w:val="single" w:color="1B4F72" w:sz="2" w:space="8"/>
        </w:pBdr>
        <w:spacing w:before="300"/>
      </w:pPr>
    </w:p>
    <w:p>
      <w:pPr>
        <w:spacing w:after="120" w:before="0"/>
        <w:jc w:val="center"/>
      </w:pPr>
      <w:r>
        <w:rPr>
          <w:rFonts w:ascii="Arial" w:cs="Arial" w:eastAsia="Arial" w:hAnsi="Arial"/>
          <w:b w:val="false"/>
          <w:bCs w:val="false"/>
          <w:i/>
          <w:iCs/>
          <w:color w:val="5D6D7E"/>
          <w:sz w:val="18"/>
          <w:szCs w:val="18"/>
        </w:rPr>
        <w:t xml:space="preserve">End of Document</w:t>
      </w:r>
    </w:p>
    <w:p>
      <w:pPr>
        <w:spacing w:after="120" w:before="0"/>
        <w:jc w:val="center"/>
      </w:pPr>
      <w:r>
        <w:rPr>
          <w:rFonts w:ascii="Arial" w:cs="Arial" w:eastAsia="Arial" w:hAnsi="Arial"/>
          <w:b w:val="false"/>
          <w:bCs w:val="false"/>
          <w:i w:val="false"/>
          <w:iCs w:val="false"/>
          <w:color w:val="5D6D7E"/>
          <w:sz w:val="16"/>
          <w:szCs w:val="16"/>
        </w:rPr>
        <w:t xml:space="preserve">Clinical Canon Framework v1.0 | Vaidshala | February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5"/>
        <w:szCs w:val="15"/>
      </w:rPr>
      <w:t xml:space="preserve">Page </w:t>
    </w:r>
    <w:r>
      <w:rPr>
        <w:rFonts w:ascii="Arial" w:cs="Arial" w:eastAsia="Arial" w:hAnsi="Arial"/>
        <w:color w:val="5D6D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tabs>
        <w:tab w:val="right" w:pos="9026"/>
      </w:tabs>
    </w:pPr>
    <w:r>
      <w:rPr>
        <w:rFonts w:ascii="Arial" w:cs="Arial" w:eastAsia="Arial" w:hAnsi="Arial"/>
        <w:color w:val="5D6D7E"/>
        <w:sz w:val="15"/>
        <w:szCs w:val="15"/>
      </w:rPr>
      <w:t xml:space="preserve">Clinical Canon Framework</w:t>
    </w:r>
    <w:r>
      <w:t xml:space="preserve">	</w:t>
    </w:r>
    <w:r>
      <w:rPr>
        <w:rFonts w:ascii="Arial" w:cs="Arial" w:eastAsia="Arial" w:hAnsi="Arial"/>
        <w:b/>
        <w:bCs/>
        <w:color w:val="2E86C1"/>
        <w:sz w:val="15"/>
        <w:szCs w:val="15"/>
      </w:rPr>
      <w:t xml:space="preserve">VAIDSHALA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2"/>
    <w:lvlOverride w:ilvl="0">
      <w:startOverride w:val="1"/>
    </w:lvlOverride>
  </w:num>
  <w:num w:numId="3">
    <w:abstractNumId w:val="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30"/>
      <w:outlineLvl w:val="1"/>
    </w:pPr>
    <w:rPr>
      <w:rFonts w:ascii="Arial" w:cs="Arial" w:eastAsia="Arial" w:hAnsi="Arial"/>
      <w:b/>
      <w:bCs/>
      <w:color w:val="2E86C1"/>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2026-02-22T14:10:10.208Z</dcterms:created>
  <dcterms:modified xsi:type="dcterms:W3CDTF">2026-02-22T14:10:10.209Z</dcterms:modified>
</cp:coreProperties>
</file>

<file path=docProps/custom.xml><?xml version="1.0" encoding="utf-8"?>
<Properties xmlns="http://schemas.openxmlformats.org/officeDocument/2006/custom-properties" xmlns:vt="http://schemas.openxmlformats.org/officeDocument/2006/docPropsVTypes"/>
</file>