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120"/>
      </w:pPr>
    </w:p>
    <w:p>
      <w:pPr>
        <w:spacing w:after="60"/>
        <w:jc w:val="left"/>
      </w:pPr>
      <w:r>
        <w:rPr>
          <w:rFonts w:ascii="Georgia" w:cs="Georgia" w:eastAsia="Georgia" w:hAnsi="Georgia"/>
          <w:b/>
          <w:bCs/>
          <w:color w:val="5D6D7E"/>
          <w:spacing w:val="300"/>
          <w:sz w:val="20"/>
          <w:szCs w:val="20"/>
        </w:rPr>
        <w:t xml:space="preserve">VAIDSHALA</w:t>
      </w:r>
    </w:p>
    <w:p>
      <w:pPr>
        <w:pBdr>
          <w:bottom w:val="single" w:color="0C2340" w:sz="8" w:space="8"/>
        </w:pBdr>
        <w:spacing w:after="20"/>
        <w:jc w:val="left"/>
      </w:pPr>
      <w:r>
        <w:rPr>
          <w:rFonts w:ascii="Georgia" w:cs="Georgia" w:eastAsia="Georgia" w:hAnsi="Georgia"/>
          <w:b/>
          <w:bCs/>
          <w:color w:val="0C2340"/>
          <w:sz w:val="52"/>
          <w:szCs w:val="52"/>
        </w:rPr>
        <w:t xml:space="preserve">The Metabolic Correction Loop</w:t>
      </w:r>
    </w:p>
    <w:p>
      <w:pPr>
        <w:spacing w:after="240"/>
        <w:jc w:val="left"/>
      </w:pPr>
      <w:r>
        <w:rPr>
          <w:rFonts w:ascii="Georgia" w:cs="Georgia" w:eastAsia="Georgia" w:hAnsi="Georgia"/>
          <w:color w:val="1A5276"/>
          <w:sz w:val="30"/>
          <w:szCs w:val="30"/>
        </w:rPr>
        <w:t xml:space="preserve">Complete Product Architecture</w:t>
      </w:r>
    </w:p>
    <w:p>
      <w:pPr>
        <w:spacing w:after="160" w:line="320"/>
      </w:pPr>
      <w:r>
        <w:rPr>
          <w:rFonts w:ascii="Calibri" w:cs="Calibri" w:eastAsia="Calibri" w:hAnsi="Calibri"/>
          <w:color w:val="5D6D7E"/>
          <w:sz w:val="22"/>
          <w:szCs w:val="22"/>
        </w:rPr>
        <w:t xml:space="preserve">Four engines composing a single closed-loop correction system. From diet titration to medication review to insulin optimization. Every decision deterministic, guideline-cited, safety-supervised, and court-defensible.</w:t>
      </w:r>
    </w:p>
    <w:p>
      <w:pPr>
        <w:spacing w:after="120"/>
      </w:pPr>
    </w:p>
    <w:p>
      <w:pPr>
        <w:spacing w:after="60"/>
      </w:pPr>
      <w:r>
        <w:rPr>
          <w:rFonts w:ascii="Calibri" w:cs="Calibri" w:eastAsia="Calibri" w:hAnsi="Calibri"/>
          <w:color w:val="5D6D7E"/>
          <w:sz w:val="20"/>
          <w:szCs w:val="20"/>
        </w:rPr>
        <w:t xml:space="preserve">February 2026  |  Confidential  |  v3 + Correction Loop Extensions</w:t>
      </w:r>
    </w:p>
    <w:p>
      <w:pPr>
        <w:spacing w:after="60"/>
      </w:pPr>
      <w:r>
        <w:rPr>
          <w:rFonts w:ascii="Calibri" w:cs="Calibri" w:eastAsia="Calibri" w:hAnsi="Calibri"/>
          <w:color w:val="5D6D7E"/>
          <w:sz w:val="20"/>
          <w:szCs w:val="20"/>
        </w:rPr>
        <w:t xml:space="preserve">Prerequisite: Vaidshala Architecture v3.0 (7 Tiers, 19 KBs, 137K lines Go, 14K lines CQL)</w:t>
      </w:r>
    </w:p>
    <w:p>
      <w:r>
        <w:br w:type="page"/>
      </w:r>
    </w:p>
    <w:p>
      <w:pPr>
        <w:pStyle w:val="Heading1"/>
        <w:spacing w:before="360" w:after="200"/>
      </w:pPr>
      <w:r>
        <w:rPr>
          <w:rFonts w:ascii="Georgia" w:cs="Georgia" w:eastAsia="Georgia" w:hAnsi="Georgia"/>
          <w:b/>
          <w:bCs/>
          <w:color w:val="0C2340"/>
          <w:sz w:val="32"/>
          <w:szCs w:val="32"/>
        </w:rPr>
        <w:t xml:space="preserve">1. The Product in One Sentence</w:t>
      </w:r>
    </w:p>
    <w:p>
      <w:pPr>
        <w:pBdr>
          <w:left w:val="single" w:color="1A5276" w:sz="12" w:space="12"/>
        </w:pBdr>
        <w:spacing w:before="200" w:after="200" w:line="340"/>
        <w:ind w:left="480" w:right="480"/>
      </w:pPr>
      <w:r>
        <w:rPr>
          <w:rFonts w:ascii="Georgia" w:cs="Georgia" w:eastAsia="Georgia" w:hAnsi="Georgia"/>
          <w:i/>
          <w:iCs/>
          <w:color w:val="1A5276"/>
          <w:sz w:val="24"/>
          <w:szCs w:val="24"/>
        </w:rPr>
        <w:t xml:space="preserve">Vaidshala turns a lab report into a 90-day correction trajectory with fortnightly human accountability, visible proof of improvement, and a closed safety loop that knows when to accelerate, when to brake, and when to hand off to a physician.</w:t>
      </w:r>
    </w:p>
    <w:p>
      <w:pPr>
        <w:spacing w:after="160" w:line="320"/>
      </w:pPr>
      <w:r>
        <w:rPr>
          <w:rFonts w:ascii="Calibri" w:cs="Calibri" w:eastAsia="Calibri" w:hAnsi="Calibri"/>
          <w:color w:val="333333"/>
          <w:sz w:val="22"/>
          <w:szCs w:val="22"/>
        </w:rPr>
        <w:t xml:space="preserve">Everything in this document exists to serve that sentence. The correction loop is not a feature. It is the product. If a module, engine, or decision does not contribute to moving a patient from HbA1c 7.8 to HbA1c 7.1 in 90 days, it does not belong in v1.</w:t>
      </w:r>
    </w:p>
    <w:p>
      <w:pPr>
        <w:spacing w:after="160" w:line="320"/>
      </w:pPr>
      <w:r>
        <w:rPr>
          <w:rFonts w:ascii="Calibri" w:cs="Calibri" w:eastAsia="Calibri" w:hAnsi="Calibri"/>
          <w:color w:val="333333"/>
          <w:sz w:val="22"/>
          <w:szCs w:val="22"/>
        </w:rPr>
        <w:t xml:space="preserve">The loop spans a clinical spectrum: diet titration for the pre-diabetic, medication review and deprescribing for the established diabetic, basal insulin optimization for the insulin-requiring patient. These are not three products. They are three intensities of the same correction engine, activated by patient stratum, governed by the same safety architecture, delivered through the same WhatsApp interface.</w:t>
      </w:r>
    </w:p>
    <w:p>
      <w:pPr>
        <w:pStyle w:val="Heading2"/>
        <w:spacing w:before="280" w:after="160"/>
      </w:pPr>
      <w:r>
        <w:rPr>
          <w:rFonts w:ascii="Georgia" w:cs="Georgia" w:eastAsia="Georgia" w:hAnsi="Georgia"/>
          <w:b/>
          <w:bCs/>
          <w:color w:val="1A5276"/>
          <w:sz w:val="26"/>
          <w:szCs w:val="26"/>
        </w:rPr>
        <w:t xml:space="preserve">1.1 What Makes This a Correction Loop, Not a Monitoring App</w:t>
      </w:r>
    </w:p>
    <w:p>
      <w:pPr>
        <w:spacing w:after="160" w:line="320"/>
      </w:pPr>
      <w:r>
        <w:rPr>
          <w:rFonts w:ascii="Calibri" w:cs="Calibri" w:eastAsia="Calibri" w:hAnsi="Calibri"/>
          <w:color w:val="333333"/>
          <w:sz w:val="22"/>
          <w:szCs w:val="22"/>
        </w:rPr>
        <w:t xml:space="preserve">A monitoring app watches numbers and sends alerts. A correction loop changes numbers. The distinction is architectural: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0C2340" w:val="clear"/>
            <w:tcMar>
              <w:top w:type="dxa" w:w="80"/>
              <w:left w:type="dxa" w:w="140"/>
              <w:bottom w:type="dxa" w:w="80"/>
              <w:right w:type="dxa" w:w="140"/>
            </w:tcMar>
          </w:tcPr>
          <w:p>
            <w:r>
              <w:rPr>
                <w:rFonts w:ascii="Calibri" w:cs="Calibri" w:eastAsia="Calibri" w:hAnsi="Calibri"/>
                <w:b/>
                <w:bCs/>
                <w:color w:val="FFFFFF"/>
                <w:sz w:val="20"/>
                <w:szCs w:val="20"/>
              </w:rPr>
              <w:t xml:space="preserve">Component</w:t>
            </w:r>
          </w:p>
        </w:tc>
        <w:tc>
          <w:tcPr>
            <w:tcW w:type="dxa" w:w="6560"/>
            <w:tcBorders>
              <w:top w:val="single" w:color="D5D8DC" w:sz="1"/>
              <w:left w:val="single" w:color="D5D8DC" w:sz="1"/>
              <w:bottom w:val="single" w:color="D5D8DC" w:sz="1"/>
              <w:right w:val="single" w:color="D5D8DC" w:sz="1"/>
            </w:tcBorders>
            <w:shd w:fill="0C2340" w:val="clear"/>
            <w:tcMar>
              <w:top w:type="dxa" w:w="80"/>
              <w:left w:type="dxa" w:w="140"/>
              <w:bottom w:type="dxa" w:w="80"/>
              <w:right w:type="dxa" w:w="140"/>
            </w:tcMar>
          </w:tcPr>
          <w:p>
            <w:r>
              <w:rPr>
                <w:rFonts w:ascii="Calibri" w:cs="Calibri" w:eastAsia="Calibri" w:hAnsi="Calibri"/>
                <w:b/>
                <w:bCs/>
                <w:color w:val="FFFFFF"/>
                <w:sz w:val="20"/>
                <w:szCs w:val="20"/>
              </w:rPr>
              <w:t xml:space="preserve">Detail</w:t>
            </w:r>
          </w:p>
        </w:tc>
      </w:tr>
      <w:tr>
        <w:tc>
          <w:tcPr>
            <w:tcW w:type="dxa" w:w="280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b/>
                <w:bCs/>
                <w:color w:val="0C2340"/>
                <w:sz w:val="20"/>
                <w:szCs w:val="20"/>
              </w:rPr>
              <w:t xml:space="preserve">Monitoring App</w:t>
            </w:r>
          </w:p>
        </w:tc>
        <w:tc>
          <w:tcPr>
            <w:tcW w:type="dxa" w:w="656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color w:val="444444"/>
                <w:sz w:val="20"/>
                <w:szCs w:val="20"/>
              </w:rPr>
              <w:t xml:space="preserve">Receives glucose reading → Sends alert if high → Waits for doctor</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300"/>
            </w:pPr>
            <w:r>
              <w:rPr>
                <w:rFonts w:ascii="Calibri" w:cs="Calibri" w:eastAsia="Calibri" w:hAnsi="Calibri"/>
                <w:b/>
                <w:bCs/>
                <w:color w:val="0C2340"/>
                <w:sz w:val="20"/>
                <w:szCs w:val="20"/>
              </w:rPr>
              <w:t xml:space="preserve">Correction Loop</w:t>
            </w:r>
          </w:p>
        </w:tc>
        <w:tc>
          <w:tcPr>
            <w:tcW w:type="dxa" w:w="6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300"/>
            </w:pPr>
            <w:r>
              <w:rPr>
                <w:rFonts w:ascii="Calibri" w:cs="Calibri" w:eastAsia="Calibri" w:hAnsi="Calibri"/>
                <w:color w:val="444444"/>
                <w:sz w:val="20"/>
                <w:szCs w:val="20"/>
              </w:rPr>
              <w:t xml:space="preserve">Receives glucose reading → Updates longitudinal trajectory → Applies protocol logic → Generates structured clinical recommendation → Safety-checks against renal function, drug interactions, comorbidities → Routes to appropriate human authority → Delivers approved action to patient in Hindi → Adjusts behavioral protocol → Repeats every 14 days</w:t>
            </w:r>
          </w:p>
        </w:tc>
      </w:tr>
    </w:tbl>
    <w:p>
      <w:pPr>
        <w:spacing w:after="120"/>
      </w:pPr>
    </w:p>
    <w:p>
      <w:pPr>
        <w:spacing w:after="160" w:line="320"/>
      </w:pPr>
      <w:r>
        <w:rPr>
          <w:rFonts w:ascii="Calibri" w:cs="Calibri" w:eastAsia="Calibri" w:hAnsi="Calibri"/>
          <w:color w:val="333333"/>
          <w:sz w:val="22"/>
          <w:szCs w:val="22"/>
        </w:rPr>
        <w:t xml:space="preserve">The loop is closed because the output (patient action) feeds back into the input (next observation) and the engine adapts. It is not a one-shot recommendation. It is a continuous, time-aware, safety-bounded, behaviorally-adaptive correction trajectory.</w:t>
      </w:r>
    </w:p>
    <w:p>
      <w:r>
        <w:br w:type="page"/>
      </w:r>
    </w:p>
    <w:p>
      <w:pPr>
        <w:pStyle w:val="Heading1"/>
        <w:spacing w:before="360" w:after="200"/>
      </w:pPr>
      <w:r>
        <w:rPr>
          <w:rFonts w:ascii="Georgia" w:cs="Georgia" w:eastAsia="Georgia" w:hAnsi="Georgia"/>
          <w:b/>
          <w:bCs/>
          <w:color w:val="0C2340"/>
          <w:sz w:val="32"/>
          <w:szCs w:val="32"/>
        </w:rPr>
        <w:t xml:space="preserve">2. The Four Engines: Overview</w:t>
      </w:r>
    </w:p>
    <w:p>
      <w:pPr>
        <w:spacing w:after="160" w:line="320"/>
      </w:pPr>
      <w:r>
        <w:rPr>
          <w:rFonts w:ascii="Calibri" w:cs="Calibri" w:eastAsia="Calibri" w:hAnsi="Calibri"/>
          <w:color w:val="333333"/>
          <w:sz w:val="22"/>
          <w:szCs w:val="22"/>
        </w:rPr>
        <w:t xml:space="preserve">The Correction Loop is composed of four engines. Each has a distinct clinical function, a distinct computational architecture, and a distinct relationship to the v3 platform. They are not independent modules that happen to coexist. They are coupled systems that compose into a single decision-making organism.</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D5D8DC" w:sz="1"/>
              <w:left w:val="single" w:color="D5D8DC" w:sz="1"/>
              <w:bottom w:val="single" w:color="D5D8DC" w:sz="1"/>
              <w:right w:val="single" w:color="D5D8DC" w:sz="1"/>
            </w:tcBorders>
            <w:shd w:fill="0C2340" w:val="clear"/>
            <w:tcMar>
              <w:top w:type="dxa" w:w="80"/>
              <w:left w:type="dxa" w:w="140"/>
              <w:bottom w:type="dxa" w:w="80"/>
              <w:right w:type="dxa" w:w="140"/>
            </w:tcMar>
          </w:tcPr>
          <w:p>
            <w:r>
              <w:rPr>
                <w:rFonts w:ascii="Calibri" w:cs="Calibri" w:eastAsia="Calibri" w:hAnsi="Calibri"/>
                <w:b/>
                <w:bCs/>
                <w:color w:val="FFFFFF"/>
                <w:sz w:val="18"/>
                <w:szCs w:val="18"/>
              </w:rPr>
              <w:t xml:space="preserve">Engine</w:t>
            </w:r>
          </w:p>
        </w:tc>
        <w:tc>
          <w:tcPr>
            <w:tcW w:type="dxa" w:w="2520"/>
            <w:tcBorders>
              <w:top w:val="single" w:color="D5D8DC" w:sz="1"/>
              <w:left w:val="single" w:color="D5D8DC" w:sz="1"/>
              <w:bottom w:val="single" w:color="D5D8DC" w:sz="1"/>
              <w:right w:val="single" w:color="D5D8DC" w:sz="1"/>
            </w:tcBorders>
            <w:shd w:fill="0C2340" w:val="clear"/>
            <w:tcMar>
              <w:top w:type="dxa" w:w="80"/>
              <w:left w:type="dxa" w:w="140"/>
              <w:bottom w:type="dxa" w:w="80"/>
              <w:right w:type="dxa" w:w="140"/>
            </w:tcMar>
          </w:tcPr>
          <w:p>
            <w:r>
              <w:rPr>
                <w:rFonts w:ascii="Calibri" w:cs="Calibri" w:eastAsia="Calibri" w:hAnsi="Calibri"/>
                <w:b/>
                <w:bCs/>
                <w:color w:val="FFFFFF"/>
                <w:sz w:val="18"/>
                <w:szCs w:val="18"/>
              </w:rPr>
              <w:t xml:space="preserve">Clinical Function</w:t>
            </w:r>
          </w:p>
        </w:tc>
        <w:tc>
          <w:tcPr>
            <w:tcW w:type="dxa" w:w="2520"/>
            <w:tcBorders>
              <w:top w:val="single" w:color="D5D8DC" w:sz="1"/>
              <w:left w:val="single" w:color="D5D8DC" w:sz="1"/>
              <w:bottom w:val="single" w:color="D5D8DC" w:sz="1"/>
              <w:right w:val="single" w:color="D5D8DC" w:sz="1"/>
            </w:tcBorders>
            <w:shd w:fill="0C2340" w:val="clear"/>
            <w:tcMar>
              <w:top w:type="dxa" w:w="80"/>
              <w:left w:type="dxa" w:w="140"/>
              <w:bottom w:type="dxa" w:w="80"/>
              <w:right w:type="dxa" w:w="140"/>
            </w:tcMar>
          </w:tcPr>
          <w:p>
            <w:r>
              <w:rPr>
                <w:rFonts w:ascii="Calibri" w:cs="Calibri" w:eastAsia="Calibri" w:hAnsi="Calibri"/>
                <w:b/>
                <w:bCs/>
                <w:color w:val="FFFFFF"/>
                <w:sz w:val="18"/>
                <w:szCs w:val="18"/>
              </w:rPr>
              <w:t xml:space="preserve">v3 Mapping</w:t>
            </w:r>
          </w:p>
        </w:tc>
        <w:tc>
          <w:tcPr>
            <w:tcW w:type="dxa" w:w="2520"/>
            <w:tcBorders>
              <w:top w:val="single" w:color="D5D8DC" w:sz="1"/>
              <w:left w:val="single" w:color="D5D8DC" w:sz="1"/>
              <w:bottom w:val="single" w:color="D5D8DC" w:sz="1"/>
              <w:right w:val="single" w:color="D5D8DC" w:sz="1"/>
            </w:tcBorders>
            <w:shd w:fill="0C2340" w:val="clear"/>
            <w:tcMar>
              <w:top w:type="dxa" w:w="80"/>
              <w:left w:type="dxa" w:w="140"/>
              <w:bottom w:type="dxa" w:w="80"/>
              <w:right w:type="dxa" w:w="140"/>
            </w:tcMar>
          </w:tcPr>
          <w:p>
            <w:r>
              <w:rPr>
                <w:rFonts w:ascii="Calibri" w:cs="Calibri" w:eastAsia="Calibri" w:hAnsi="Calibri"/>
                <w:b/>
                <w:bCs/>
                <w:color w:val="FFFFFF"/>
                <w:sz w:val="18"/>
                <w:szCs w:val="18"/>
              </w:rPr>
              <w:t xml:space="preserve">Core Question</w:t>
            </w:r>
          </w:p>
        </w:tc>
      </w:tr>
      <w:tr>
        <w:tc>
          <w:tcPr>
            <w:tcW w:type="dxa" w:w="180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Longitudinal Correction Engine</w:t>
            </w:r>
          </w:p>
        </w:tc>
        <w:tc>
          <w:tcPr>
            <w:tcW w:type="dxa" w:w="252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Metabolic memory: tracks where the patient was, is, and is headed</w:t>
            </w:r>
          </w:p>
        </w:tc>
        <w:tc>
          <w:tcPr>
            <w:tcW w:type="dxa" w:w="252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KB-20 (Port 8131) + M4</w:t>
            </w:r>
          </w:p>
        </w:tc>
        <w:tc>
          <w:tcPr>
            <w:tcW w:type="dxa" w:w="252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Is this patient getting better or worse, and how fast?</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Episodic Structured HPI Engine</w:t>
            </w:r>
          </w:p>
        </w:tc>
        <w:tc>
          <w:tcPr>
            <w:tcW w:type="dxa" w:w="25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Clinical ear: hears symptoms, extracts differentials, enriches with drug/lab knowledge</w:t>
            </w:r>
          </w:p>
        </w:tc>
        <w:tc>
          <w:tcPr>
            <w:tcW w:type="dxa" w:w="25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KB-22 (Port 8133) + M0</w:t>
            </w:r>
          </w:p>
        </w:tc>
        <w:tc>
          <w:tcPr>
            <w:tcW w:type="dxa" w:w="25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What does this symptom mean in THIS patient’s specific context?</w:t>
            </w:r>
          </w:p>
        </w:tc>
      </w:tr>
      <w:tr>
        <w:tc>
          <w:tcPr>
            <w:tcW w:type="dxa" w:w="180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Deterministic Differential Architecture</w:t>
            </w:r>
          </w:p>
        </w:tc>
        <w:tc>
          <w:tcPr>
            <w:tcW w:type="dxa" w:w="252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Clinical brain: applies guidelines, adversarially safety-checks, arbitrates conflicts</w:t>
            </w:r>
          </w:p>
        </w:tc>
        <w:tc>
          <w:tcPr>
            <w:tcW w:type="dxa" w:w="252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M2 + KB-3 Policy + KB-1/4/16 Safety</w:t>
            </w:r>
          </w:p>
        </w:tc>
        <w:tc>
          <w:tcPr>
            <w:tcW w:type="dxa" w:w="252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What is the optimal move, and is it safe for this specific patient?</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Behavioral Adaptation Layer</w:t>
            </w:r>
          </w:p>
        </w:tc>
        <w:tc>
          <w:tcPr>
            <w:tcW w:type="dxa" w:w="25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Behavioral intelligence: measures adherence, adjusts communication, runs lifestyle protocols</w:t>
            </w:r>
          </w:p>
        </w:tc>
        <w:tc>
          <w:tcPr>
            <w:tcW w:type="dxa" w:w="25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KB-21 (Port 8132) + M3</w:t>
            </w:r>
          </w:p>
        </w:tc>
        <w:tc>
          <w:tcPr>
            <w:tcW w:type="dxa" w:w="25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What is this patient actually doing, and how do we adjust?</w:t>
            </w:r>
          </w:p>
        </w:tc>
      </w:tr>
    </w:tbl>
    <w:p>
      <w:pPr>
        <w:spacing w:after="120"/>
      </w:pPr>
    </w:p>
    <w:p>
      <w:pPr>
        <w:pBdr>
          <w:left w:val="single" w:color="1A5276" w:sz="12" w:space="12"/>
        </w:pBdr>
        <w:spacing w:before="200" w:after="200" w:line="340"/>
        <w:ind w:left="480" w:right="480"/>
      </w:pPr>
      <w:r>
        <w:rPr>
          <w:rFonts w:ascii="Georgia" w:cs="Georgia" w:eastAsia="Georgia" w:hAnsi="Georgia"/>
          <w:i/>
          <w:iCs/>
          <w:color w:val="1A5276"/>
          <w:sz w:val="24"/>
          <w:szCs w:val="24"/>
        </w:rPr>
        <w:t xml:space="preserve">The Longitudinal Engine is the shared memory that makes all three other engines dramatically more powerful than they would be standalone. Without it, the HPI Engine does cold-start differentials. The Differential Architecture applies guidelines without trajectory context. The Behavioral Layer sends generic nudges. With it, every engine operates with full patient history, full drug timeline, full adherence pattern.</w:t>
      </w:r>
    </w:p>
    <w:p>
      <w:r>
        <w:br w:type="page"/>
      </w:r>
    </w:p>
    <w:p>
      <w:pPr>
        <w:pStyle w:val="Heading1"/>
        <w:spacing w:before="360" w:after="200"/>
      </w:pPr>
      <w:r>
        <w:rPr>
          <w:rFonts w:ascii="Georgia" w:cs="Georgia" w:eastAsia="Georgia" w:hAnsi="Georgia"/>
          <w:b/>
          <w:bCs/>
          <w:color w:val="0C2340"/>
          <w:sz w:val="32"/>
          <w:szCs w:val="32"/>
        </w:rPr>
        <w:t xml:space="preserve">3. Engine 1: Longitudinal Correction Engine</w:t>
      </w:r>
    </w:p>
    <w:p>
      <w:pPr>
        <w:spacing w:after="80"/>
      </w:pPr>
      <w:r>
        <w:rPr>
          <w:rFonts w:ascii="Calibri" w:cs="Calibri" w:eastAsia="Calibri" w:hAnsi="Calibri"/>
          <w:i/>
          <w:iCs/>
          <w:color w:val="1E8449"/>
          <w:sz w:val="20"/>
          <w:szCs w:val="20"/>
        </w:rPr>
        <w:t xml:space="preserve">KB-20 (Port 8131) + M4 Correction Loop Orchestrator</w:t>
      </w:r>
    </w:p>
    <w:p>
      <w:pPr>
        <w:pBdr>
          <w:left w:val="single" w:color="1A5276" w:sz="12" w:space="12"/>
        </w:pBdr>
        <w:spacing w:before="200" w:after="200" w:line="340"/>
        <w:ind w:left="480" w:right="480"/>
      </w:pPr>
      <w:r>
        <w:rPr>
          <w:rFonts w:ascii="Georgia" w:cs="Georgia" w:eastAsia="Georgia" w:hAnsi="Georgia"/>
          <w:i/>
          <w:iCs/>
          <w:color w:val="1A5276"/>
          <w:sz w:val="24"/>
          <w:szCs w:val="24"/>
        </w:rPr>
        <w:t xml:space="preserve">Knows where the patient WAS, IS, and is HEADED.</w:t>
      </w:r>
    </w:p>
    <w:p>
      <w:pPr>
        <w:spacing w:after="160" w:line="320"/>
      </w:pPr>
      <w:r>
        <w:rPr>
          <w:rFonts w:ascii="Calibri" w:cs="Calibri" w:eastAsia="Calibri" w:hAnsi="Calibri"/>
          <w:color w:val="333333"/>
          <w:sz w:val="22"/>
          <w:szCs w:val="22"/>
        </w:rPr>
        <w:t xml:space="preserve">This is not a snapshot system. It is the patient’s metabolic autobiography: a continuous, time-aware state machine that tracks every biomarker, every intervention, every response across the full 90-day correction cycle and beyond. It transforms episodic lab visits into a coherent correction trajectory.</w:t>
      </w:r>
    </w:p>
    <w:p>
      <w:pPr>
        <w:pStyle w:val="Heading2"/>
        <w:spacing w:before="280" w:after="160"/>
      </w:pPr>
      <w:r>
        <w:rPr>
          <w:rFonts w:ascii="Georgia" w:cs="Georgia" w:eastAsia="Georgia" w:hAnsi="Georgia"/>
          <w:b/>
          <w:bCs/>
          <w:color w:val="1A5276"/>
          <w:sz w:val="26"/>
          <w:szCs w:val="26"/>
        </w:rPr>
        <w:t xml:space="preserve">3.1 Architecture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1E8449" w:val="clear"/>
            <w:tcMar>
              <w:top w:type="dxa" w:w="80"/>
              <w:left w:type="dxa" w:w="140"/>
              <w:bottom w:type="dxa" w:w="80"/>
              <w:right w:type="dxa" w:w="140"/>
            </w:tcMar>
          </w:tcPr>
          <w:p>
            <w:r>
              <w:rPr>
                <w:rFonts w:ascii="Calibri" w:cs="Calibri" w:eastAsia="Calibri" w:hAnsi="Calibri"/>
                <w:b/>
                <w:bCs/>
                <w:color w:val="FFFFFF"/>
                <w:sz w:val="20"/>
                <w:szCs w:val="20"/>
              </w:rPr>
              <w:t xml:space="preserve">Component</w:t>
            </w:r>
          </w:p>
        </w:tc>
        <w:tc>
          <w:tcPr>
            <w:tcW w:type="dxa" w:w="6560"/>
            <w:tcBorders>
              <w:top w:val="single" w:color="D5D8DC" w:sz="1"/>
              <w:left w:val="single" w:color="D5D8DC" w:sz="1"/>
              <w:bottom w:val="single" w:color="D5D8DC" w:sz="1"/>
              <w:right w:val="single" w:color="D5D8DC" w:sz="1"/>
            </w:tcBorders>
            <w:shd w:fill="1E8449" w:val="clear"/>
            <w:tcMar>
              <w:top w:type="dxa" w:w="80"/>
              <w:left w:type="dxa" w:w="140"/>
              <w:bottom w:type="dxa" w:w="80"/>
              <w:right w:type="dxa" w:w="140"/>
            </w:tcMar>
          </w:tcPr>
          <w:p>
            <w:r>
              <w:rPr>
                <w:rFonts w:ascii="Calibri" w:cs="Calibri" w:eastAsia="Calibri" w:hAnsi="Calibri"/>
                <w:b/>
                <w:bCs/>
                <w:color w:val="FFFFFF"/>
                <w:sz w:val="20"/>
                <w:szCs w:val="20"/>
              </w:rPr>
              <w:t xml:space="preserve">Detail</w:t>
            </w:r>
          </w:p>
        </w:tc>
      </w:tr>
      <w:tr>
        <w:tc>
          <w:tcPr>
            <w:tcW w:type="dxa" w:w="280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b/>
                <w:bCs/>
                <w:color w:val="0C2340"/>
                <w:sz w:val="20"/>
                <w:szCs w:val="20"/>
              </w:rPr>
              <w:t xml:space="preserve">State Rehydrator</w:t>
            </w:r>
          </w:p>
        </w:tc>
        <w:tc>
          <w:tcPr>
            <w:tcW w:type="dxa" w:w="656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color w:val="444444"/>
                <w:sz w:val="20"/>
                <w:szCs w:val="20"/>
              </w:rPr>
              <w:t xml:space="preserve">Before any decision, the engine ‘remembers’ the patient: current regimen, last 3 days fasting glucose, recent labs (eGFR, K+), active constraints (Ramadan fasting, unstable angina, pregnancy). This is the Context that powers every downstream module.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300"/>
            </w:pPr>
            <w:r>
              <w:rPr>
                <w:rFonts w:ascii="Calibri" w:cs="Calibri" w:eastAsia="Calibri" w:hAnsi="Calibri"/>
                <w:b/>
                <w:bCs/>
                <w:color w:val="0C2340"/>
                <w:sz w:val="20"/>
                <w:szCs w:val="20"/>
              </w:rPr>
              <w:t xml:space="preserve">Metabolic Graph Core</w:t>
            </w:r>
          </w:p>
        </w:tc>
        <w:tc>
          <w:tcPr>
            <w:tcW w:type="dxa" w:w="6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300"/>
            </w:pPr>
            <w:r>
              <w:rPr>
                <w:rFonts w:ascii="Calibri" w:cs="Calibri" w:eastAsia="Calibri" w:hAnsi="Calibri"/>
                <w:color w:val="444444"/>
                <w:sz w:val="20"/>
                <w:szCs w:val="20"/>
              </w:rPr>
              <w:t xml:space="preserve">Longitudinal, patient-level data structure tracking biomarkers across two primary axes (glycemic + blood pressure) and four secondary signals (protein adherence, exercise, waist circumference, medication compliance). Continuously updated. Never snapshot-only.</w:t>
            </w:r>
          </w:p>
        </w:tc>
      </w:tr>
      <w:tr>
        <w:tc>
          <w:tcPr>
            <w:tcW w:type="dxa" w:w="280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b/>
                <w:bCs/>
                <w:color w:val="0C2340"/>
                <w:sz w:val="20"/>
                <w:szCs w:val="20"/>
              </w:rPr>
              <w:t xml:space="preserve">Trajectory Classifier</w:t>
            </w:r>
          </w:p>
        </w:tc>
        <w:tc>
          <w:tcPr>
            <w:tcW w:type="dxa" w:w="656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color w:val="444444"/>
                <w:sz w:val="20"/>
                <w:szCs w:val="20"/>
              </w:rPr>
              <w:t xml:space="preserve">Every 14 days: trajectory_score = 0.40 × FBG_trend + 0.25 × meal_adherence + 0.20 × protein_score + 0.15 × walk_score. GREEN (≥0.65), YELLOW (0.40–0.64), RED (&lt;0.40). Hard overrides: HARD_STOP → RED. Three missed check-ins → RED. HbA1c increase &gt;0.5% → RED.</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300"/>
            </w:pPr>
            <w:r>
              <w:rPr>
                <w:rFonts w:ascii="Calibri" w:cs="Calibri" w:eastAsia="Calibri" w:hAnsi="Calibri"/>
                <w:b/>
                <w:bCs/>
                <w:color w:val="0C2340"/>
                <w:sz w:val="20"/>
                <w:szCs w:val="20"/>
              </w:rPr>
              <w:t xml:space="preserve">Correction Velocity</w:t>
            </w:r>
          </w:p>
        </w:tc>
        <w:tc>
          <w:tcPr>
            <w:tcW w:type="dxa" w:w="6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300"/>
            </w:pPr>
            <w:r>
              <w:rPr>
                <w:rFonts w:ascii="Calibri" w:cs="Calibri" w:eastAsia="Calibri" w:hAnsi="Calibri"/>
                <w:color w:val="444444"/>
                <w:sz w:val="20"/>
                <w:szCs w:val="20"/>
              </w:rPr>
              <w:t xml:space="preserve">Core innovation: Δ(trajectory_score) over 14 days. Positive = improving even if currently YELLOW. Negative = declining even if currently GREEN (early warning). Catches deterioration before the next lab confirms it.</w:t>
            </w:r>
          </w:p>
        </w:tc>
      </w:tr>
      <w:tr>
        <w:tc>
          <w:tcPr>
            <w:tcW w:type="dxa" w:w="280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b/>
                <w:bCs/>
                <w:color w:val="0C2340"/>
                <w:sz w:val="20"/>
                <w:szCs w:val="20"/>
              </w:rPr>
              <w:t xml:space="preserve">Three Internal Clocks</w:t>
            </w:r>
          </w:p>
        </w:tc>
        <w:tc>
          <w:tcPr>
            <w:tcW w:type="dxa" w:w="656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color w:val="444444"/>
                <w:sz w:val="20"/>
                <w:szCs w:val="20"/>
              </w:rPr>
              <w:t xml:space="preserve">Biweekly clock (check-ins, lever adjustments). Monthly clock (WC measurement, protocol intensity). 90-Day clock (HbA1c retest, cycle evaluation, physician review, commercial reporting). All feeding the same metabolic graph.</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300"/>
            </w:pPr>
            <w:r>
              <w:rPr>
                <w:rFonts w:ascii="Calibri" w:cs="Calibri" w:eastAsia="Calibri" w:hAnsi="Calibri"/>
                <w:b/>
                <w:bCs/>
                <w:color w:val="0C2340"/>
                <w:sz w:val="20"/>
                <w:szCs w:val="20"/>
              </w:rPr>
              <w:t xml:space="preserve">State Domains</w:t>
            </w:r>
          </w:p>
        </w:tc>
        <w:tc>
          <w:tcPr>
            <w:tcW w:type="dxa" w:w="6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300"/>
            </w:pPr>
            <w:r>
              <w:rPr>
                <w:rFonts w:ascii="Calibri" w:cs="Calibri" w:eastAsia="Calibri" w:hAnsi="Calibri"/>
                <w:color w:val="444444"/>
                <w:sz w:val="20"/>
                <w:szCs w:val="20"/>
              </w:rPr>
              <w:t xml:space="preserve">Six domains tracked simultaneously: Clinical (FBG, HbA1c, BP, eGFR, K+, WC), Medication (drugs, doses, start dates, changes), Behavioral (adherence scores across all 4 levers), Program (day in cycle, check-in history, escalation count), Safety (HARD_STOP events, red flag history), Trajectory (classification, velocity, trend direction).</w:t>
            </w:r>
          </w:p>
        </w:tc>
      </w:tr>
    </w:tbl>
    <w:p>
      <w:pPr>
        <w:pStyle w:val="Heading2"/>
        <w:spacing w:before="280" w:after="160"/>
      </w:pPr>
      <w:r>
        <w:rPr>
          <w:rFonts w:ascii="Georgia" w:cs="Georgia" w:eastAsia="Georgia" w:hAnsi="Georgia"/>
          <w:b/>
          <w:bCs/>
          <w:color w:val="1A5276"/>
          <w:sz w:val="26"/>
          <w:szCs w:val="26"/>
        </w:rPr>
        <w:t xml:space="preserve">3.2 Cycle Transition Logic</w:t>
      </w:r>
    </w:p>
    <w:p>
      <w:pPr>
        <w:spacing w:after="160" w:line="320"/>
      </w:pPr>
      <w:r>
        <w:rPr>
          <w:rFonts w:ascii="Calibri" w:cs="Calibri" w:eastAsia="Calibri" w:hAnsi="Calibri"/>
          <w:color w:val="333333"/>
          <w:sz w:val="22"/>
          <w:szCs w:val="22"/>
        </w:rPr>
        <w:t xml:space="preserve">At the end of every 90-day cycle, KB-20 evaluates four possible outcomes. Each drives a different protocol adjustment for the next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1E8449" w:val="clear"/>
            <w:tcMar>
              <w:top w:type="dxa" w:w="80"/>
              <w:left w:type="dxa" w:w="140"/>
              <w:bottom w:type="dxa" w:w="80"/>
              <w:right w:type="dxa" w:w="140"/>
            </w:tcMar>
          </w:tcPr>
          <w:p>
            <w:r>
              <w:rPr>
                <w:rFonts w:ascii="Calibri" w:cs="Calibri" w:eastAsia="Calibri" w:hAnsi="Calibri"/>
                <w:b/>
                <w:bCs/>
                <w:color w:val="333333"/>
                <w:sz w:val="20"/>
                <w:szCs w:val="20"/>
              </w:rPr>
              <w:t xml:space="preserve">Component</w:t>
            </w:r>
          </w:p>
        </w:tc>
        <w:tc>
          <w:tcPr>
            <w:tcW w:type="dxa" w:w="6560"/>
            <w:tcBorders>
              <w:top w:val="single" w:color="D5D8DC" w:sz="1"/>
              <w:left w:val="single" w:color="D5D8DC" w:sz="1"/>
              <w:bottom w:val="single" w:color="D5D8DC" w:sz="1"/>
              <w:right w:val="single" w:color="D5D8DC" w:sz="1"/>
            </w:tcBorders>
            <w:shd w:fill="1E8449" w:val="clear"/>
            <w:tcMar>
              <w:top w:type="dxa" w:w="80"/>
              <w:left w:type="dxa" w:w="140"/>
              <w:bottom w:type="dxa" w:w="80"/>
              <w:right w:type="dxa" w:w="140"/>
            </w:tcMar>
          </w:tcPr>
          <w:p>
            <w:r>
              <w:rPr>
                <w:rFonts w:ascii="Calibri" w:cs="Calibri" w:eastAsia="Calibri" w:hAnsi="Calibri"/>
                <w:b/>
                <w:bCs/>
                <w:color w:val="333333"/>
                <w:sz w:val="20"/>
                <w:szCs w:val="20"/>
              </w:rPr>
              <w:t xml:space="preserve">Detail</w:t>
            </w:r>
          </w:p>
        </w:tc>
      </w:tr>
      <w:tr>
        <w:tc>
          <w:tcPr>
            <w:tcW w:type="dxa" w:w="280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b/>
                <w:bCs/>
                <w:color w:val="0C2340"/>
                <w:sz w:val="20"/>
                <w:szCs w:val="20"/>
              </w:rPr>
              <w:t xml:space="preserve">HbA1c improved + adherence high</w:t>
            </w:r>
          </w:p>
        </w:tc>
        <w:tc>
          <w:tcPr>
            <w:tcW w:type="dxa" w:w="656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color w:val="444444"/>
                <w:sz w:val="20"/>
                <w:szCs w:val="20"/>
              </w:rPr>
              <w:t xml:space="preserve">Continue current protocol. Advance exercise state if appropriate. Celebrate with patient. This is the gold path.</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300"/>
            </w:pPr>
            <w:r>
              <w:rPr>
                <w:rFonts w:ascii="Calibri" w:cs="Calibri" w:eastAsia="Calibri" w:hAnsi="Calibri"/>
                <w:b/>
                <w:bCs/>
                <w:color w:val="0C2340"/>
                <w:sz w:val="20"/>
                <w:szCs w:val="20"/>
              </w:rPr>
              <w:t xml:space="preserve">HbA1c improved + adherence low</w:t>
            </w:r>
          </w:p>
        </w:tc>
        <w:tc>
          <w:tcPr>
            <w:tcW w:type="dxa" w:w="6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300"/>
            </w:pPr>
            <w:r>
              <w:rPr>
                <w:rFonts w:ascii="Calibri" w:cs="Calibri" w:eastAsia="Calibri" w:hAnsi="Calibri"/>
                <w:color w:val="444444"/>
                <w:sz w:val="20"/>
                <w:szCs w:val="20"/>
              </w:rPr>
              <w:t xml:space="preserve">Fragile improvement. Behavioral intervention focus in next cycle. The numbers improved but the foundation is weak. Prioritize M3 lever reinforcement over protocol advancement.</w:t>
            </w:r>
          </w:p>
        </w:tc>
      </w:tr>
      <w:tr>
        <w:tc>
          <w:tcPr>
            <w:tcW w:type="dxa" w:w="280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b/>
                <w:bCs/>
                <w:color w:val="0C2340"/>
                <w:sz w:val="20"/>
                <w:szCs w:val="20"/>
              </w:rPr>
              <w:t xml:space="preserve">HbA1c flat + adherence high</w:t>
            </w:r>
          </w:p>
        </w:tc>
        <w:tc>
          <w:tcPr>
            <w:tcW w:type="dxa" w:w="656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color w:val="444444"/>
                <w:sz w:val="20"/>
                <w:szCs w:val="20"/>
              </w:rPr>
              <w:t xml:space="preserve">Protocol insufficient. The patient is doing everything right but the numbers are not moving. Escalate to medication review (M5). Possible deprescribing opportunity or dose adjustment.</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300"/>
            </w:pPr>
            <w:r>
              <w:rPr>
                <w:rFonts w:ascii="Calibri" w:cs="Calibri" w:eastAsia="Calibri" w:hAnsi="Calibri"/>
                <w:b/>
                <w:bCs/>
                <w:color w:val="0C2340"/>
                <w:sz w:val="20"/>
                <w:szCs w:val="20"/>
              </w:rPr>
              <w:t xml:space="preserve">HbA1c worsened</w:t>
            </w:r>
          </w:p>
        </w:tc>
        <w:tc>
          <w:tcPr>
            <w:tcW w:type="dxa" w:w="6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300"/>
            </w:pPr>
            <w:r>
              <w:rPr>
                <w:rFonts w:ascii="Calibri" w:cs="Calibri" w:eastAsia="Calibri" w:hAnsi="Calibri"/>
                <w:color w:val="444444"/>
                <w:sz w:val="20"/>
                <w:szCs w:val="20"/>
              </w:rPr>
              <w:t xml:space="preserve">Physician review mandatory. Stratum reclassification evaluation. The system has failed this patient in this cycle and must determine why. Was it adherence? Was it the wrong protocol intensity? Was it an undetected comorbidity?</w:t>
            </w:r>
          </w:p>
        </w:tc>
      </w:tr>
    </w:tbl>
    <w:p>
      <w:pPr>
        <w:pStyle w:val="Heading2"/>
        <w:spacing w:before="280" w:after="160"/>
      </w:pPr>
      <w:r>
        <w:rPr>
          <w:rFonts w:ascii="Georgia" w:cs="Georgia" w:eastAsia="Georgia" w:hAnsi="Georgia"/>
          <w:b/>
          <w:bCs/>
          <w:color w:val="1A5276"/>
          <w:sz w:val="26"/>
          <w:szCs w:val="26"/>
        </w:rPr>
        <w:t xml:space="preserve">3.3 v3 Integration</w:t>
      </w:r>
    </w:p>
    <w:p>
      <w:pPr>
        <w:spacing w:after="160" w:line="320"/>
      </w:pPr>
      <w:r>
        <w:rPr>
          <w:rFonts w:ascii="Calibri" w:cs="Calibri" w:eastAsia="Calibri" w:hAnsi="Calibri"/>
          <w:color w:val="333333"/>
          <w:sz w:val="22"/>
          <w:szCs w:val="22"/>
        </w:rPr>
        <w:t xml:space="preserve">KB-20 sits on Port 8131. It consumes FHIR Observations from Tier -1 (WhatsApp patient input) and v3’s existing observation pipeline. It queries KB-7 for terminology normalization and KB-16 for critical value flags. It is the new memory layer that v3 never had. v3 was designed for episodic physician-driven encounters. KB-20 extends it into continuous patient monitoring without changing a single line of existing v3 code.</w:t>
      </w:r>
    </w:p>
    <w:p>
      <w:r>
        <w:br w:type="page"/>
      </w:r>
    </w:p>
    <w:p>
      <w:pPr>
        <w:pStyle w:val="Heading1"/>
        <w:spacing w:before="360" w:after="200"/>
      </w:pPr>
      <w:r>
        <w:rPr>
          <w:rFonts w:ascii="Georgia" w:cs="Georgia" w:eastAsia="Georgia" w:hAnsi="Georgia"/>
          <w:b/>
          <w:bCs/>
          <w:color w:val="0C2340"/>
          <w:sz w:val="32"/>
          <w:szCs w:val="32"/>
        </w:rPr>
        <w:t xml:space="preserve">4. Engine 2: Episodic Structured HPI Engine</w:t>
      </w:r>
    </w:p>
    <w:p>
      <w:pPr>
        <w:spacing w:after="80"/>
      </w:pPr>
      <w:r>
        <w:rPr>
          <w:rFonts w:ascii="Calibri" w:cs="Calibri" w:eastAsia="Calibri" w:hAnsi="Calibri"/>
          <w:i/>
          <w:iCs/>
          <w:color w:val="148F77"/>
          <w:sz w:val="20"/>
          <w:szCs w:val="20"/>
        </w:rPr>
        <w:t xml:space="preserve">KB-22 (Port 8133) + M0 Agentic Intake</w:t>
      </w:r>
    </w:p>
    <w:p>
      <w:pPr>
        <w:pBdr>
          <w:left w:val="single" w:color="1A5276" w:sz="12" w:space="12"/>
        </w:pBdr>
        <w:spacing w:before="200" w:after="200" w:line="340"/>
        <w:ind w:left="480" w:right="480"/>
      </w:pPr>
      <w:r>
        <w:rPr>
          <w:rFonts w:ascii="Georgia" w:cs="Georgia" w:eastAsia="Georgia" w:hAnsi="Georgia"/>
          <w:i/>
          <w:iCs/>
          <w:color w:val="1A5276"/>
          <w:sz w:val="24"/>
          <w:szCs w:val="24"/>
        </w:rPr>
        <w:t xml:space="preserve">Hears what the patient SAYS, extracts what it MEANS clinically.</w:t>
      </w:r>
    </w:p>
    <w:p>
      <w:pPr>
        <w:spacing w:after="160" w:line="320"/>
      </w:pPr>
      <w:r>
        <w:rPr>
          <w:rFonts w:ascii="Calibri" w:cs="Calibri" w:eastAsia="Calibri" w:hAnsi="Calibri"/>
          <w:color w:val="333333"/>
          <w:sz w:val="22"/>
          <w:szCs w:val="22"/>
        </w:rPr>
        <w:t xml:space="preserve">This is where Vaidshala becomes dramatically more than a monitoring tool. When a patient reports “chakkar aa raha hai” (feeling dizzy) during a routine check-in, the system does not just log it. It activates a structured clinical interview that produces ranked differentials enriched by v3’s full clinical knowledge. This is the only new KB that performs patient-facing clinical reasoning.</w:t>
      </w:r>
    </w:p>
    <w:p>
      <w:pPr>
        <w:pStyle w:val="Heading2"/>
        <w:spacing w:before="280" w:after="160"/>
      </w:pPr>
      <w:r>
        <w:rPr>
          <w:rFonts w:ascii="Georgia" w:cs="Georgia" w:eastAsia="Georgia" w:hAnsi="Georgia"/>
          <w:b/>
          <w:bCs/>
          <w:color w:val="1A5276"/>
          <w:sz w:val="26"/>
          <w:szCs w:val="26"/>
        </w:rPr>
        <w:t xml:space="preserve">4.1 Two Modes of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148F77" w:val="clear"/>
            <w:tcMar>
              <w:top w:type="dxa" w:w="80"/>
              <w:left w:type="dxa" w:w="140"/>
              <w:bottom w:type="dxa" w:w="80"/>
              <w:right w:type="dxa" w:w="140"/>
            </w:tcMar>
          </w:tcPr>
          <w:p>
            <w:r>
              <w:rPr>
                <w:rFonts w:ascii="Calibri" w:cs="Calibri" w:eastAsia="Calibri" w:hAnsi="Calibri"/>
                <w:b/>
                <w:bCs/>
                <w:color w:val="FFFFFF"/>
                <w:sz w:val="20"/>
                <w:szCs w:val="20"/>
              </w:rPr>
              <w:t xml:space="preserve">Component</w:t>
            </w:r>
          </w:p>
        </w:tc>
        <w:tc>
          <w:tcPr>
            <w:tcW w:type="dxa" w:w="6560"/>
            <w:tcBorders>
              <w:top w:val="single" w:color="D5D8DC" w:sz="1"/>
              <w:left w:val="single" w:color="D5D8DC" w:sz="1"/>
              <w:bottom w:val="single" w:color="D5D8DC" w:sz="1"/>
              <w:right w:val="single" w:color="D5D8DC" w:sz="1"/>
            </w:tcBorders>
            <w:shd w:fill="148F77" w:val="clear"/>
            <w:tcMar>
              <w:top w:type="dxa" w:w="80"/>
              <w:left w:type="dxa" w:w="140"/>
              <w:bottom w:type="dxa" w:w="80"/>
              <w:right w:type="dxa" w:w="140"/>
            </w:tcMar>
          </w:tcPr>
          <w:p>
            <w:r>
              <w:rPr>
                <w:rFonts w:ascii="Calibri" w:cs="Calibri" w:eastAsia="Calibri" w:hAnsi="Calibri"/>
                <w:b/>
                <w:bCs/>
                <w:color w:val="FFFFFF"/>
                <w:sz w:val="20"/>
                <w:szCs w:val="20"/>
              </w:rPr>
              <w:t xml:space="preserve">Detail</w:t>
            </w:r>
          </w:p>
        </w:tc>
      </w:tr>
      <w:tr>
        <w:tc>
          <w:tcPr>
            <w:tcW w:type="dxa" w:w="280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b/>
                <w:bCs/>
                <w:color w:val="0C2340"/>
                <w:sz w:val="20"/>
                <w:szCs w:val="20"/>
              </w:rPr>
              <w:t xml:space="preserve">M0: Agentic Intake (Day 0)</w:t>
            </w:r>
          </w:p>
        </w:tc>
        <w:tc>
          <w:tcPr>
            <w:tcW w:type="dxa" w:w="656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color w:val="444444"/>
                <w:sz w:val="20"/>
                <w:szCs w:val="20"/>
              </w:rPr>
              <w:t xml:space="preserve">8-layer clinical data extraction via WhatsApp in Hindi. Full 15–20 question intake across 4 layers: Layer A (Lab Context Verification), Layer B (Safety Gate Questions — non-negotiable, every time), Layer C (Behavioral Calibration — feeds M3), Layer D (Medication Reconciliation). Not a chatbot. A structured interview with an LLM conversational interface on top of deterministic clinical pathways.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300"/>
            </w:pPr>
            <w:r>
              <w:rPr>
                <w:rFonts w:ascii="Calibri" w:cs="Calibri" w:eastAsia="Calibri" w:hAnsi="Calibri"/>
                <w:b/>
                <w:bCs/>
                <w:color w:val="0C2340"/>
                <w:sz w:val="20"/>
                <w:szCs w:val="20"/>
              </w:rPr>
              <w:t xml:space="preserve">KB-22: Episodic HPI (Ongoing)</w:t>
            </w:r>
          </w:p>
        </w:tc>
        <w:tc>
          <w:tcPr>
            <w:tcW w:type="dxa" w:w="6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300"/>
            </w:pPr>
            <w:r>
              <w:rPr>
                <w:rFonts w:ascii="Calibri" w:cs="Calibri" w:eastAsia="Calibri" w:hAnsi="Calibri"/>
                <w:color w:val="444444"/>
                <w:sz w:val="20"/>
                <w:szCs w:val="20"/>
              </w:rPr>
              <w:t xml:space="preserve">Activates mid-correction-loop when symptoms are detected during check-ins. Session stack architecture: check-in session is pushed onto stack, HPI activates, completes, check-in resumes from where it paused. Stack depth limited to 2. Conducts adaptive Bayesian questioning via Tier -1.</w:t>
            </w:r>
          </w:p>
        </w:tc>
      </w:tr>
    </w:tbl>
    <w:p>
      <w:pPr>
        <w:pStyle w:val="Heading2"/>
        <w:spacing w:before="280" w:after="160"/>
      </w:pPr>
      <w:r>
        <w:rPr>
          <w:rFonts w:ascii="Georgia" w:cs="Georgia" w:eastAsia="Georgia" w:hAnsi="Georgia"/>
          <w:b/>
          <w:bCs/>
          <w:color w:val="1A5276"/>
          <w:sz w:val="26"/>
          <w:szCs w:val="26"/>
        </w:rPr>
        <w:t xml:space="preserve">4.2 The Power Multiplier: v3 KB Enrichment</w:t>
      </w:r>
    </w:p>
    <w:p>
      <w:pPr>
        <w:spacing w:after="160" w:line="320"/>
      </w:pPr>
      <w:r>
        <w:rPr>
          <w:rFonts w:ascii="Calibri" w:cs="Calibri" w:eastAsia="Calibri" w:hAnsi="Calibri"/>
          <w:color w:val="333333"/>
          <w:sz w:val="22"/>
          <w:szCs w:val="22"/>
        </w:rPr>
        <w:t xml:space="preserve">This is what makes KB-22 dramatically more powerful than any standalone HPI system. Each differential is enriched by real-time queries to v3’s full clinical knowledge: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148F77" w:val="clear"/>
            <w:tcMar>
              <w:top w:type="dxa" w:w="80"/>
              <w:left w:type="dxa" w:w="140"/>
              <w:bottom w:type="dxa" w:w="80"/>
              <w:right w:type="dxa" w:w="140"/>
            </w:tcMar>
          </w:tcPr>
          <w:p>
            <w:r>
              <w:rPr>
                <w:rFonts w:ascii="Calibri" w:cs="Calibri" w:eastAsia="Calibri" w:hAnsi="Calibri"/>
                <w:b/>
                <w:bCs/>
                <w:color w:val="FFFFFF"/>
                <w:sz w:val="20"/>
                <w:szCs w:val="20"/>
              </w:rPr>
              <w:t xml:space="preserve">Component</w:t>
            </w:r>
          </w:p>
        </w:tc>
        <w:tc>
          <w:tcPr>
            <w:tcW w:type="dxa" w:w="6560"/>
            <w:tcBorders>
              <w:top w:val="single" w:color="D5D8DC" w:sz="1"/>
              <w:left w:val="single" w:color="D5D8DC" w:sz="1"/>
              <w:bottom w:val="single" w:color="D5D8DC" w:sz="1"/>
              <w:right w:val="single" w:color="D5D8DC" w:sz="1"/>
            </w:tcBorders>
            <w:shd w:fill="148F77" w:val="clear"/>
            <w:tcMar>
              <w:top w:type="dxa" w:w="80"/>
              <w:left w:type="dxa" w:w="140"/>
              <w:bottom w:type="dxa" w:w="80"/>
              <w:right w:type="dxa" w:w="140"/>
            </w:tcMar>
          </w:tcPr>
          <w:p>
            <w:r>
              <w:rPr>
                <w:rFonts w:ascii="Calibri" w:cs="Calibri" w:eastAsia="Calibri" w:hAnsi="Calibri"/>
                <w:b/>
                <w:bCs/>
                <w:color w:val="FFFFFF"/>
                <w:sz w:val="20"/>
                <w:szCs w:val="20"/>
              </w:rPr>
              <w:t xml:space="preserve">Detail</w:t>
            </w:r>
          </w:p>
        </w:tc>
      </w:tr>
      <w:tr>
        <w:tc>
          <w:tcPr>
            <w:tcW w:type="dxa" w:w="280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b/>
                <w:bCs/>
                <w:color w:val="0C2340"/>
                <w:sz w:val="20"/>
                <w:szCs w:val="20"/>
              </w:rPr>
              <w:t xml:space="preserve">KB-1 (Drug Properties)</w:t>
            </w:r>
          </w:p>
        </w:tc>
        <w:tc>
          <w:tcPr>
            <w:tcW w:type="dxa" w:w="656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color w:val="444444"/>
                <w:sz w:val="20"/>
                <w:szCs w:val="20"/>
              </w:rPr>
              <w:t xml:space="preserve">What adverse effects does telmisartan have? Does metformin cause GI disturbance? What is the frequency of SGLT2i-related dizziness?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300"/>
            </w:pPr>
            <w:r>
              <w:rPr>
                <w:rFonts w:ascii="Calibri" w:cs="Calibri" w:eastAsia="Calibri" w:hAnsi="Calibri"/>
                <w:b/>
                <w:bCs/>
                <w:color w:val="0C2340"/>
                <w:sz w:val="20"/>
                <w:szCs w:val="20"/>
              </w:rPr>
              <w:t xml:space="preserve">KB-5 (Drug Interactions)</w:t>
            </w:r>
          </w:p>
        </w:tc>
        <w:tc>
          <w:tcPr>
            <w:tcW w:type="dxa" w:w="6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300"/>
            </w:pPr>
            <w:r>
              <w:rPr>
                <w:rFonts w:ascii="Calibri" w:cs="Calibri" w:eastAsia="Calibri" w:hAnsi="Calibri"/>
                <w:color w:val="444444"/>
                <w:sz w:val="20"/>
                <w:szCs w:val="20"/>
              </w:rPr>
              <w:t xml:space="preserve">Could the combination of the patient’s current medications be causing this symptom? Are there pharmacokinetic interactions amplifying side effects?</w:t>
            </w:r>
          </w:p>
        </w:tc>
      </w:tr>
      <w:tr>
        <w:tc>
          <w:tcPr>
            <w:tcW w:type="dxa" w:w="280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b/>
                <w:bCs/>
                <w:color w:val="0C2340"/>
                <w:sz w:val="20"/>
                <w:szCs w:val="20"/>
              </w:rPr>
              <w:t xml:space="preserve">KB-16 (Lab Monitoring)</w:t>
            </w:r>
          </w:p>
        </w:tc>
        <w:tc>
          <w:tcPr>
            <w:tcW w:type="dxa" w:w="656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color w:val="444444"/>
                <w:sz w:val="20"/>
                <w:szCs w:val="20"/>
              </w:rPr>
              <w:t xml:space="preserve">Are there lab abnormalities that explain this symptom? Is potassium elevated? Is eGFR declining in a way that explains fatigue?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300"/>
            </w:pPr>
            <w:r>
              <w:rPr>
                <w:rFonts w:ascii="Calibri" w:cs="Calibri" w:eastAsia="Calibri" w:hAnsi="Calibri"/>
                <w:b/>
                <w:bCs/>
                <w:color w:val="0C2340"/>
                <w:sz w:val="20"/>
                <w:szCs w:val="20"/>
              </w:rPr>
              <w:t xml:space="preserve">KB-20 (Longitudinal State)</w:t>
            </w:r>
          </w:p>
        </w:tc>
        <w:tc>
          <w:tcPr>
            <w:tcW w:type="dxa" w:w="6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300"/>
            </w:pPr>
            <w:r>
              <w:rPr>
                <w:rFonts w:ascii="Calibri" w:cs="Calibri" w:eastAsia="Calibri" w:hAnsi="Calibri"/>
                <w:color w:val="444444"/>
                <w:sz w:val="20"/>
                <w:szCs w:val="20"/>
              </w:rPr>
              <w:t xml:space="preserve">When was the medication started? Has BP dropped since? Is there a temporal correlation between the drug change and the symptom onset?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0ECE7" w:val="clear"/>
            <w:tcMar>
              <w:top w:type="dxa" w:w="160"/>
              <w:left w:type="dxa" w:w="240"/>
              <w:bottom w:type="dxa" w:w="160"/>
              <w:right w:type="dxa" w:w="240"/>
            </w:tcMar>
          </w:tcPr>
          <w:p>
            <w:pPr>
              <w:spacing w:after="0" w:line="320"/>
            </w:pPr>
            <w:r>
              <w:rPr>
                <w:rFonts w:ascii="Calibri" w:cs="Calibri" w:eastAsia="Calibri" w:hAnsi="Calibri"/>
                <w:color w:val="333333"/>
                <w:sz w:val="22"/>
                <w:szCs w:val="22"/>
              </w:rPr>
              <w:t xml:space="preserve">Example: “Dizziness in a patient on telmisartan” is not a manually authored lookup. It is the product of real-time queries: KB-1 says telmisartan causes orthostatic hypotension. KB-20 says the drug was started 37 days ago. KB-20 also says BP dropped from 142/88 to 118/72. The Bayesian engine now assigns high prior probability to orthostatic hypotension from ARB initiation and asks the medication-temporal question: “Dawai shuru karne ke baad se ho raha hai?” (“Has this been happening since you started the medication?”). A general HPI system cannot do this.</w:t>
            </w:r>
          </w:p>
        </w:tc>
      </w:tr>
    </w:tbl>
    <w:p>
      <w:pPr>
        <w:pStyle w:val="Heading2"/>
        <w:spacing w:before="280" w:after="160"/>
      </w:pPr>
      <w:r>
        <w:rPr>
          <w:rFonts w:ascii="Georgia" w:cs="Georgia" w:eastAsia="Georgia" w:hAnsi="Georgia"/>
          <w:b/>
          <w:bCs/>
          <w:color w:val="1A5276"/>
          <w:sz w:val="26"/>
          <w:szCs w:val="26"/>
        </w:rPr>
        <w:t xml:space="preserve">4.3 The Differential Tree Architecture</w:t>
      </w:r>
    </w:p>
    <w:p>
      <w:pPr>
        <w:spacing w:after="160" w:line="320"/>
      </w:pPr>
      <w:r>
        <w:rPr>
          <w:rFonts w:ascii="Calibri" w:cs="Calibri" w:eastAsia="Calibri" w:hAnsi="Calibri"/>
          <w:color w:val="333333"/>
          <w:sz w:val="22"/>
          <w:szCs w:val="22"/>
        </w:rPr>
        <w:t xml:space="preserve">35 Presentation Nodes, each authored by clinicians in YAML, covering approximately 80% of symptom presentations in a DM+HTN cohort. Each node contains:</w:t>
      </w:r>
    </w:p>
    <w:p>
      <w:pPr>
        <w:pStyle w:val="ListParagraph"/>
        <w:numPr>
          <w:ilvl w:val="0"/>
          <w:numId w:val="2"/>
        </w:numPr>
        <w:spacing w:after="100" w:line="300"/>
      </w:pPr>
      <w:r>
        <w:rPr>
          <w:rFonts w:ascii="Calibri" w:cs="Calibri" w:eastAsia="Calibri" w:hAnsi="Calibri"/>
          <w:b/>
          <w:bCs/>
          <w:color w:val="0C2340"/>
          <w:sz w:val="20"/>
          <w:szCs w:val="20"/>
        </w:rPr>
        <w:t xml:space="preserve">Red Flag Sweep: </w:t>
      </w:r>
      <w:r>
        <w:rPr>
          <w:rFonts w:ascii="Calibri" w:cs="Calibri" w:eastAsia="Calibri" w:hAnsi="Calibri"/>
          <w:color w:val="444444"/>
          <w:sz w:val="20"/>
          <w:szCs w:val="20"/>
        </w:rPr>
        <w:t xml:space="preserve">Button-based questions, HARD_STOP IDs. Non-bypassable. Example: dizziness node checks for focal neurological deficit, syncope, chest pain.</w:t>
      </w:r>
    </w:p>
    <w:p>
      <w:pPr>
        <w:pStyle w:val="ListParagraph"/>
        <w:numPr>
          <w:ilvl w:val="0"/>
          <w:numId w:val="2"/>
        </w:numPr>
        <w:spacing w:after="100" w:line="300"/>
      </w:pPr>
      <w:r>
        <w:rPr>
          <w:rFonts w:ascii="Calibri" w:cs="Calibri" w:eastAsia="Calibri" w:hAnsi="Calibri"/>
          <w:b/>
          <w:bCs/>
          <w:color w:val="0C2340"/>
          <w:sz w:val="20"/>
          <w:szCs w:val="20"/>
        </w:rPr>
        <w:t xml:space="preserve">Acuity Question: </w:t>
      </w:r>
      <w:r>
        <w:rPr>
          <w:rFonts w:ascii="Calibri" w:cs="Calibri" w:eastAsia="Calibri" w:hAnsi="Calibri"/>
          <w:color w:val="444444"/>
          <w:sz w:val="20"/>
          <w:szCs w:val="20"/>
        </w:rPr>
        <w:t xml:space="preserve">Acute/subacute/chronic with differential modifiers. Changes the prior probability distribution.</w:t>
      </w:r>
    </w:p>
    <w:p>
      <w:pPr>
        <w:pStyle w:val="ListParagraph"/>
        <w:numPr>
          <w:ilvl w:val="0"/>
          <w:numId w:val="2"/>
        </w:numPr>
        <w:spacing w:after="100" w:line="300"/>
      </w:pPr>
      <w:r>
        <w:rPr>
          <w:rFonts w:ascii="Calibri" w:cs="Calibri" w:eastAsia="Calibri" w:hAnsi="Calibri"/>
          <w:b/>
          <w:bCs/>
          <w:color w:val="0C2340"/>
          <w:sz w:val="20"/>
          <w:szCs w:val="20"/>
        </w:rPr>
        <w:t xml:space="preserve">Context Modifiers: </w:t>
      </w:r>
      <w:r>
        <w:rPr>
          <w:rFonts w:ascii="Calibri" w:cs="Calibri" w:eastAsia="Calibri" w:hAnsi="Calibri"/>
          <w:color w:val="444444"/>
          <w:sz w:val="20"/>
          <w:szCs w:val="20"/>
        </w:rPr>
        <w:t xml:space="preserve">Medication-aware priors. Patient’s drug list shifts the baseline probabilities before any question is asked.</w:t>
      </w:r>
    </w:p>
    <w:p>
      <w:pPr>
        <w:pStyle w:val="ListParagraph"/>
        <w:numPr>
          <w:ilvl w:val="0"/>
          <w:numId w:val="2"/>
        </w:numPr>
        <w:spacing w:after="100" w:line="300"/>
      </w:pPr>
      <w:r>
        <w:rPr>
          <w:rFonts w:ascii="Calibri" w:cs="Calibri" w:eastAsia="Calibri" w:hAnsi="Calibri"/>
          <w:b/>
          <w:bCs/>
          <w:color w:val="0C2340"/>
          <w:sz w:val="20"/>
          <w:szCs w:val="20"/>
        </w:rPr>
        <w:t xml:space="preserve">Differential Skeleton: </w:t>
      </w:r>
      <w:r>
        <w:rPr>
          <w:rFonts w:ascii="Calibri" w:cs="Calibri" w:eastAsia="Calibri" w:hAnsi="Calibri"/>
          <w:color w:val="444444"/>
          <w:sz w:val="20"/>
          <w:szCs w:val="20"/>
        </w:rPr>
        <w:t xml:space="preserve">Maximum 8 differentials per node, each with base prior, ICD-11, SNOMED, category classification.</w:t>
      </w:r>
    </w:p>
    <w:p>
      <w:pPr>
        <w:pStyle w:val="ListParagraph"/>
        <w:numPr>
          <w:ilvl w:val="0"/>
          <w:numId w:val="2"/>
        </w:numPr>
        <w:spacing w:after="100" w:line="300"/>
      </w:pPr>
      <w:r>
        <w:rPr>
          <w:rFonts w:ascii="Calibri" w:cs="Calibri" w:eastAsia="Calibri" w:hAnsi="Calibri"/>
          <w:b/>
          <w:bCs/>
          <w:color w:val="0C2340"/>
          <w:sz w:val="20"/>
          <w:szCs w:val="20"/>
        </w:rPr>
        <w:t xml:space="preserve">Discriminating Questions: </w:t>
      </w:r>
      <w:r>
        <w:rPr>
          <w:rFonts w:ascii="Calibri" w:cs="Calibri" w:eastAsia="Calibri" w:hAnsi="Calibri"/>
          <w:color w:val="444444"/>
          <w:sz w:val="20"/>
          <w:szCs w:val="20"/>
        </w:rPr>
        <w:t xml:space="preserve">Per-answer likelihood ratios and information gain estimates. The Bayesian engine selects highest-information-gain question at each step.</w:t>
      </w:r>
    </w:p>
    <w:p>
      <w:pPr>
        <w:pStyle w:val="ListParagraph"/>
        <w:numPr>
          <w:ilvl w:val="0"/>
          <w:numId w:val="2"/>
        </w:numPr>
        <w:spacing w:after="100" w:line="300"/>
      </w:pPr>
      <w:r>
        <w:rPr>
          <w:rFonts w:ascii="Calibri" w:cs="Calibri" w:eastAsia="Calibri" w:hAnsi="Calibri"/>
          <w:b/>
          <w:bCs/>
          <w:color w:val="0C2340"/>
          <w:sz w:val="20"/>
          <w:szCs w:val="20"/>
        </w:rPr>
        <w:t xml:space="preserve">Diagnostic Closure Guard: </w:t>
      </w:r>
      <w:r>
        <w:rPr>
          <w:rFonts w:ascii="Calibri" w:cs="Calibri" w:eastAsia="Calibri" w:hAnsi="Calibri"/>
          <w:color w:val="444444"/>
          <w:sz w:val="20"/>
          <w:szCs w:val="20"/>
        </w:rPr>
        <w:t xml:space="preserve">If no differential exceeds 0.50 posterior OR data completeness &lt;60% for top 2 → output: inconclusive, escalate to physician.</w:t>
      </w:r>
    </w:p>
    <w:p>
      <w:pPr>
        <w:pStyle w:val="Heading2"/>
        <w:spacing w:before="280" w:after="160"/>
      </w:pPr>
      <w:r>
        <w:rPr>
          <w:rFonts w:ascii="Georgia" w:cs="Georgia" w:eastAsia="Georgia" w:hAnsi="Georgia"/>
          <w:b/>
          <w:bCs/>
          <w:color w:val="1A5276"/>
          <w:sz w:val="26"/>
          <w:szCs w:val="26"/>
        </w:rPr>
        <w:t xml:space="preserve">4.4 Longitudinal Evolution of Intake</w:t>
      </w:r>
    </w:p>
    <w:p>
      <w:pPr>
        <w:spacing w:after="160" w:line="320"/>
      </w:pPr>
      <w:r>
        <w:rPr>
          <w:rFonts w:ascii="Calibri" w:cs="Calibri" w:eastAsia="Calibri" w:hAnsi="Calibri"/>
          <w:color w:val="333333"/>
          <w:sz w:val="22"/>
          <w:szCs w:val="22"/>
        </w:rPr>
        <w:t xml:space="preserve">This is where the architecture becomes more sophisticated than any general primary care intake. The same patient returns every 2 weeks (M4 check-in) and every 90 days (lab cycle). The branching logic narrows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148F77" w:val="clear"/>
            <w:tcMar>
              <w:top w:type="dxa" w:w="80"/>
              <w:left w:type="dxa" w:w="140"/>
              <w:bottom w:type="dxa" w:w="80"/>
              <w:right w:type="dxa" w:w="140"/>
            </w:tcMar>
          </w:tcPr>
          <w:p>
            <w:r>
              <w:rPr>
                <w:rFonts w:ascii="Calibri" w:cs="Calibri" w:eastAsia="Calibri" w:hAnsi="Calibri"/>
                <w:b/>
                <w:bCs/>
                <w:color w:val="333333"/>
                <w:sz w:val="20"/>
                <w:szCs w:val="20"/>
              </w:rPr>
              <w:t xml:space="preserve">Component</w:t>
            </w:r>
          </w:p>
        </w:tc>
        <w:tc>
          <w:tcPr>
            <w:tcW w:type="dxa" w:w="6560"/>
            <w:tcBorders>
              <w:top w:val="single" w:color="D5D8DC" w:sz="1"/>
              <w:left w:val="single" w:color="D5D8DC" w:sz="1"/>
              <w:bottom w:val="single" w:color="D5D8DC" w:sz="1"/>
              <w:right w:val="single" w:color="D5D8DC" w:sz="1"/>
            </w:tcBorders>
            <w:shd w:fill="148F77" w:val="clear"/>
            <w:tcMar>
              <w:top w:type="dxa" w:w="80"/>
              <w:left w:type="dxa" w:w="140"/>
              <w:bottom w:type="dxa" w:w="80"/>
              <w:right w:type="dxa" w:w="140"/>
            </w:tcMar>
          </w:tcPr>
          <w:p>
            <w:r>
              <w:rPr>
                <w:rFonts w:ascii="Calibri" w:cs="Calibri" w:eastAsia="Calibri" w:hAnsi="Calibri"/>
                <w:b/>
                <w:bCs/>
                <w:color w:val="333333"/>
                <w:sz w:val="20"/>
                <w:szCs w:val="20"/>
              </w:rPr>
              <w:t xml:space="preserve">Detail</w:t>
            </w:r>
          </w:p>
        </w:tc>
      </w:tr>
      <w:tr>
        <w:tc>
          <w:tcPr>
            <w:tcW w:type="dxa" w:w="280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b/>
                <w:bCs/>
                <w:color w:val="0C2340"/>
                <w:sz w:val="20"/>
                <w:szCs w:val="20"/>
              </w:rPr>
              <w:t xml:space="preserve">Day 0 (Full Intake)</w:t>
            </w:r>
          </w:p>
        </w:tc>
        <w:tc>
          <w:tcPr>
            <w:tcW w:type="dxa" w:w="656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color w:val="444444"/>
                <w:sz w:val="20"/>
                <w:szCs w:val="20"/>
              </w:rPr>
              <w:t xml:space="preserve">All 4 layers: Lab Context + Safety Gates + Behavioral Calibration + Medication Reconciliation. 15–20 questions over WhatsApp, paced across 10 minutes.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300"/>
            </w:pPr>
            <w:r>
              <w:rPr>
                <w:rFonts w:ascii="Calibri" w:cs="Calibri" w:eastAsia="Calibri" w:hAnsi="Calibri"/>
                <w:b/>
                <w:bCs/>
                <w:color w:val="0C2340"/>
                <w:sz w:val="20"/>
                <w:szCs w:val="20"/>
              </w:rPr>
              <w:t xml:space="preserve">Day 14 Check-in</w:t>
            </w:r>
          </w:p>
        </w:tc>
        <w:tc>
          <w:tcPr>
            <w:tcW w:type="dxa" w:w="6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300"/>
            </w:pPr>
            <w:r>
              <w:rPr>
                <w:rFonts w:ascii="Calibri" w:cs="Calibri" w:eastAsia="Calibri" w:hAnsi="Calibri"/>
                <w:color w:val="444444"/>
                <w:sz w:val="20"/>
                <w:szCs w:val="20"/>
              </w:rPr>
              <w:t xml:space="preserve">Only what changed: stomach tolerance (Layer D side effects), walking days (Layer C adherence), shakiness/dizziness (Layer B safety — always runs). 3–5 questions.</w:t>
            </w:r>
          </w:p>
        </w:tc>
      </w:tr>
      <w:tr>
        <w:tc>
          <w:tcPr>
            <w:tcW w:type="dxa" w:w="280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b/>
                <w:bCs/>
                <w:color w:val="0C2340"/>
                <w:sz w:val="20"/>
                <w:szCs w:val="20"/>
              </w:rPr>
              <w:t xml:space="preserve">Day 90 (New Labs)</w:t>
            </w:r>
          </w:p>
        </w:tc>
        <w:tc>
          <w:tcPr>
            <w:tcW w:type="dxa" w:w="656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color w:val="444444"/>
                <w:sz w:val="20"/>
                <w:szCs w:val="20"/>
              </w:rPr>
              <w:t xml:space="preserve">Modified Layer A (comparing new values to baseline) + full Layer B (safety gates). Layer C updates based on what worked and what did not.</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300"/>
            </w:pPr>
            <w:r>
              <w:rPr>
                <w:rFonts w:ascii="Calibri" w:cs="Calibri" w:eastAsia="Calibri" w:hAnsi="Calibri"/>
                <w:b/>
                <w:bCs/>
                <w:color w:val="0C2340"/>
                <w:sz w:val="20"/>
                <w:szCs w:val="20"/>
              </w:rPr>
              <w:t xml:space="preserve">Ongoing HPI</w:t>
            </w:r>
          </w:p>
        </w:tc>
        <w:tc>
          <w:tcPr>
            <w:tcW w:type="dxa" w:w="6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300"/>
            </w:pPr>
            <w:r>
              <w:rPr>
                <w:rFonts w:ascii="Calibri" w:cs="Calibri" w:eastAsia="Calibri" w:hAnsi="Calibri"/>
                <w:color w:val="444444"/>
                <w:sz w:val="20"/>
                <w:szCs w:val="20"/>
              </w:rPr>
              <w:t xml:space="preserve">Only when symptoms detected. Session stack push/pop. Full Bayesian questioning with KB enrichment. Produces HPI_REPORT for KB-23 Decision Card.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60"/>
              <w:left w:type="dxa" w:w="240"/>
              <w:bottom w:type="dxa" w:w="160"/>
              <w:right w:type="dxa" w:w="240"/>
            </w:tcMar>
          </w:tcPr>
          <w:p>
            <w:pPr>
              <w:spacing w:after="0" w:line="320"/>
            </w:pPr>
            <w:r>
              <w:rPr>
                <w:rFonts w:ascii="Calibri" w:cs="Calibri" w:eastAsia="Calibri" w:hAnsi="Calibri"/>
                <w:color w:val="333333"/>
                <w:sz w:val="22"/>
                <w:szCs w:val="22"/>
              </w:rPr>
              <w:t xml:space="preserve">DESIGN PRINCIPLE: The LLM is the conversational interface, never the clinical engine. The deterministic pathway generates ASK_SAFETY_HYPOGLYCEMIA. The LLM translates it into culturally appropriate Hindi: “पिछले हफ्ते में क्या आपको कभी अचानक कमज़ोरी, पसीना, या हाथ-पैर काँपने जैसा महसूस हुआ?” Every clinical decision is deterministic. Every patient-facing word is LLM-generated with semantic round-trip validation.</w:t>
            </w:r>
          </w:p>
        </w:tc>
      </w:tr>
    </w:tbl>
    <w:p>
      <w:r>
        <w:br w:type="page"/>
      </w:r>
    </w:p>
    <w:p>
      <w:pPr>
        <w:pStyle w:val="Heading1"/>
        <w:spacing w:before="360" w:after="200"/>
      </w:pPr>
      <w:r>
        <w:rPr>
          <w:rFonts w:ascii="Georgia" w:cs="Georgia" w:eastAsia="Georgia" w:hAnsi="Georgia"/>
          <w:b/>
          <w:bCs/>
          <w:color w:val="0C2340"/>
          <w:sz w:val="32"/>
          <w:szCs w:val="32"/>
        </w:rPr>
        <w:t xml:space="preserve">5. Engine 3: Deterministic Differential Architecture</w:t>
      </w:r>
    </w:p>
    <w:p>
      <w:pPr>
        <w:spacing w:after="80"/>
      </w:pPr>
      <w:r>
        <w:rPr>
          <w:rFonts w:ascii="Calibri" w:cs="Calibri" w:eastAsia="Calibri" w:hAnsi="Calibri"/>
          <w:i/>
          <w:iCs/>
          <w:color w:val="D35400"/>
          <w:sz w:val="20"/>
          <w:szCs w:val="20"/>
        </w:rPr>
        <w:t xml:space="preserve">M2 Metabolic Decision Engine + KB-3 Policy + KB-1/4/16 Safety Supervisor</w:t>
      </w:r>
    </w:p>
    <w:p>
      <w:pPr>
        <w:pBdr>
          <w:left w:val="single" w:color="1A5276" w:sz="12" w:space="12"/>
        </w:pBdr>
        <w:spacing w:before="200" w:after="200" w:line="340"/>
        <w:ind w:left="480" w:right="480"/>
      </w:pPr>
      <w:r>
        <w:rPr>
          <w:rFonts w:ascii="Georgia" w:cs="Georgia" w:eastAsia="Georgia" w:hAnsi="Georgia"/>
          <w:i/>
          <w:iCs/>
          <w:color w:val="1A5276"/>
          <w:sz w:val="24"/>
          <w:szCs w:val="24"/>
        </w:rPr>
        <w:t xml:space="preserve">The Gas Pedal AND the Brake Pedal — never just one.</w:t>
      </w:r>
    </w:p>
    <w:p>
      <w:pPr>
        <w:spacing w:after="160" w:line="320"/>
      </w:pPr>
      <w:r>
        <w:rPr>
          <w:rFonts w:ascii="Calibri" w:cs="Calibri" w:eastAsia="Calibri" w:hAnsi="Calibri"/>
          <w:color w:val="333333"/>
          <w:sz w:val="22"/>
          <w:szCs w:val="22"/>
        </w:rPr>
        <w:t xml:space="preserve">This is the architecture that distinguishes Vaidshala from every “AI health app.” Most insulin algorithms, most titration engines, most clinical decision support systems fail not because they do not know how to increase a dose — but because they do not know when to stop. Vaidshala has a Policy Engine (Gas Pedal) that knows the optimal clinical move according to guidelines, and a Safety Supervisor (Brake Pedal) that adversarially tries to find a reason NOT to execute it. The Arbitrator resolves the conflict.</w:t>
      </w:r>
    </w:p>
    <w:p>
      <w:pPr>
        <w:pStyle w:val="Heading2"/>
        <w:spacing w:before="280" w:after="160"/>
      </w:pPr>
      <w:r>
        <w:rPr>
          <w:rFonts w:ascii="Georgia" w:cs="Georgia" w:eastAsia="Georgia" w:hAnsi="Georgia"/>
          <w:b/>
          <w:bCs/>
          <w:color w:val="1A5276"/>
          <w:sz w:val="26"/>
          <w:szCs w:val="26"/>
        </w:rPr>
        <w:t xml:space="preserve">5.1 The Three-Body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D35400" w:val="clear"/>
            <w:tcMar>
              <w:top w:type="dxa" w:w="80"/>
              <w:left w:type="dxa" w:w="140"/>
              <w:bottom w:type="dxa" w:w="80"/>
              <w:right w:type="dxa" w:w="140"/>
            </w:tcMar>
          </w:tcPr>
          <w:p>
            <w:r>
              <w:rPr>
                <w:rFonts w:ascii="Calibri" w:cs="Calibri" w:eastAsia="Calibri" w:hAnsi="Calibri"/>
                <w:b/>
                <w:bCs/>
                <w:color w:val="FFFFFF"/>
                <w:sz w:val="20"/>
                <w:szCs w:val="20"/>
              </w:rPr>
              <w:t xml:space="preserve">Component</w:t>
            </w:r>
          </w:p>
        </w:tc>
        <w:tc>
          <w:tcPr>
            <w:tcW w:type="dxa" w:w="6560"/>
            <w:tcBorders>
              <w:top w:val="single" w:color="D5D8DC" w:sz="1"/>
              <w:left w:val="single" w:color="D5D8DC" w:sz="1"/>
              <w:bottom w:val="single" w:color="D5D8DC" w:sz="1"/>
              <w:right w:val="single" w:color="D5D8DC" w:sz="1"/>
            </w:tcBorders>
            <w:shd w:fill="D35400" w:val="clear"/>
            <w:tcMar>
              <w:top w:type="dxa" w:w="80"/>
              <w:left w:type="dxa" w:w="140"/>
              <w:bottom w:type="dxa" w:w="80"/>
              <w:right w:type="dxa" w:w="140"/>
            </w:tcMar>
          </w:tcPr>
          <w:p>
            <w:r>
              <w:rPr>
                <w:rFonts w:ascii="Calibri" w:cs="Calibri" w:eastAsia="Calibri" w:hAnsi="Calibri"/>
                <w:b/>
                <w:bCs/>
                <w:color w:val="FFFFFF"/>
                <w:sz w:val="20"/>
                <w:szCs w:val="20"/>
              </w:rPr>
              <w:t xml:space="preserve">Detail</w:t>
            </w:r>
          </w:p>
        </w:tc>
      </w:tr>
      <w:tr>
        <w:tc>
          <w:tcPr>
            <w:tcW w:type="dxa" w:w="280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b/>
                <w:bCs/>
                <w:color w:val="0C2340"/>
                <w:sz w:val="20"/>
                <w:szCs w:val="20"/>
              </w:rPr>
              <w:t xml:space="preserve">Policy Engine (Gas Pedal — KB-3)</w:t>
            </w:r>
          </w:p>
        </w:tc>
        <w:tc>
          <w:tcPr>
            <w:tcW w:type="dxa" w:w="656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color w:val="444444"/>
                <w:sz w:val="20"/>
                <w:szCs w:val="20"/>
              </w:rPr>
              <w:t xml:space="preserve">Asks: “According to the guideline, what is the optimal move to fix the glucose?” Source: KB-3 (ADA/RSSDI/AACE/KDIGO extracted guidelines, 14K lines CQL). Logic example: IF fasting_avg_3days &gt; 130 AND hypo_count_7days == 0 THEN increase_basal_insulin(2 units). Output: Draft Proposal. Critical design: can swap KB-3(ADA) for KB-3(ICMR) without rewriting engine code.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300"/>
            </w:pPr>
            <w:r>
              <w:rPr>
                <w:rFonts w:ascii="Calibri" w:cs="Calibri" w:eastAsia="Calibri" w:hAnsi="Calibri"/>
                <w:b/>
                <w:bCs/>
                <w:color w:val="0C2340"/>
                <w:sz w:val="20"/>
                <w:szCs w:val="20"/>
              </w:rPr>
              <w:t xml:space="preserve">Safety Supervisor (Brake Pedal — KB-1, 4, 16)</w:t>
            </w:r>
          </w:p>
        </w:tc>
        <w:tc>
          <w:tcPr>
            <w:tcW w:type="dxa" w:w="6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300"/>
            </w:pPr>
            <w:r>
              <w:rPr>
                <w:rFonts w:ascii="Calibri" w:cs="Calibri" w:eastAsia="Calibri" w:hAnsi="Calibri"/>
                <w:color w:val="444444"/>
                <w:sz w:val="20"/>
                <w:szCs w:val="20"/>
              </w:rPr>
              <w:t xml:space="preserve">The adversary. It tries to find a reason NOT to execute the proposal. Three mandatory checks: Check 1 (KB-16): Is eGFR current? If &gt;6 months old → downgrade to “Check Labs first.” Check 2 (KB-1): Does the proposed dose exceed renal max? If eGFR &lt;30, cap or intensify monitoring. Check 3 (KB-4): Safety signals? If SU + Insulin → flag hypo risk doubled, recommend de-escalating SU before increasing insulin.</w:t>
            </w:r>
          </w:p>
        </w:tc>
      </w:tr>
      <w:tr>
        <w:tc>
          <w:tcPr>
            <w:tcW w:type="dxa" w:w="280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b/>
                <w:bCs/>
                <w:color w:val="0C2340"/>
                <w:sz w:val="20"/>
                <w:szCs w:val="20"/>
              </w:rPr>
              <w:t xml:space="preserve">Arbitrator (The Decision)</w:t>
            </w:r>
          </w:p>
        </w:tc>
        <w:tc>
          <w:tcPr>
            <w:tcW w:type="dxa" w:w="656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color w:val="444444"/>
                <w:sz w:val="20"/>
                <w:szCs w:val="20"/>
              </w:rPr>
              <w:t xml:space="preserve">Resolves the conflict between Policy (Go) and Safety (Stop). Example: Policy says “Increase +2U.” Safety says “High Hypo Risk (Sulfonylurea).” Resolution: “Hold Insulin Dose. Recommend reducing Glimepiride first. Schedule tele-consult.” This arbitration is the moat.</w:t>
            </w:r>
          </w:p>
        </w:tc>
      </w:tr>
    </w:tbl>
    <w:p>
      <w:pPr>
        <w:pStyle w:val="Heading2"/>
        <w:spacing w:before="280" w:after="160"/>
      </w:pPr>
      <w:r>
        <w:rPr>
          <w:rFonts w:ascii="Georgia" w:cs="Georgia" w:eastAsia="Georgia" w:hAnsi="Georgia"/>
          <w:b/>
          <w:bCs/>
          <w:color w:val="1A5276"/>
          <w:sz w:val="26"/>
          <w:szCs w:val="26"/>
        </w:rPr>
        <w:t xml:space="preserve">5.2 Dual Biomarker Axes</w:t>
      </w:r>
    </w:p>
    <w:p>
      <w:pPr>
        <w:spacing w:after="160" w:line="320"/>
      </w:pPr>
      <w:r>
        <w:rPr>
          <w:rFonts w:ascii="Calibri" w:cs="Calibri" w:eastAsia="Calibri" w:hAnsi="Calibri"/>
          <w:color w:val="333333"/>
          <w:sz w:val="22"/>
          <w:szCs w:val="22"/>
        </w:rPr>
        <w:t xml:space="preserve">M2 reasons across two primary clinical axes simultaneously, not sequentially: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D35400" w:val="clear"/>
            <w:tcMar>
              <w:top w:type="dxa" w:w="80"/>
              <w:left w:type="dxa" w:w="140"/>
              <w:bottom w:type="dxa" w:w="80"/>
              <w:right w:type="dxa" w:w="140"/>
            </w:tcMar>
          </w:tcPr>
          <w:p>
            <w:r>
              <w:rPr>
                <w:rFonts w:ascii="Calibri" w:cs="Calibri" w:eastAsia="Calibri" w:hAnsi="Calibri"/>
                <w:b/>
                <w:bCs/>
                <w:color w:val="333333"/>
                <w:sz w:val="20"/>
                <w:szCs w:val="20"/>
              </w:rPr>
              <w:t xml:space="preserve">Component</w:t>
            </w:r>
          </w:p>
        </w:tc>
        <w:tc>
          <w:tcPr>
            <w:tcW w:type="dxa" w:w="6560"/>
            <w:tcBorders>
              <w:top w:val="single" w:color="D5D8DC" w:sz="1"/>
              <w:left w:val="single" w:color="D5D8DC" w:sz="1"/>
              <w:bottom w:val="single" w:color="D5D8DC" w:sz="1"/>
              <w:right w:val="single" w:color="D5D8DC" w:sz="1"/>
            </w:tcBorders>
            <w:shd w:fill="D35400" w:val="clear"/>
            <w:tcMar>
              <w:top w:type="dxa" w:w="80"/>
              <w:left w:type="dxa" w:w="140"/>
              <w:bottom w:type="dxa" w:w="80"/>
              <w:right w:type="dxa" w:w="140"/>
            </w:tcMar>
          </w:tcPr>
          <w:p>
            <w:r>
              <w:rPr>
                <w:rFonts w:ascii="Calibri" w:cs="Calibri" w:eastAsia="Calibri" w:hAnsi="Calibri"/>
                <w:b/>
                <w:bCs/>
                <w:color w:val="333333"/>
                <w:sz w:val="20"/>
                <w:szCs w:val="20"/>
              </w:rPr>
              <w:t xml:space="preserve">Detail</w:t>
            </w:r>
          </w:p>
        </w:tc>
      </w:tr>
      <w:tr>
        <w:tc>
          <w:tcPr>
            <w:tcW w:type="dxa" w:w="280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b/>
                <w:bCs/>
                <w:color w:val="0C2340"/>
                <w:sz w:val="20"/>
                <w:szCs w:val="20"/>
              </w:rPr>
              <w:t xml:space="preserve">Glycemic Axis</w:t>
            </w:r>
          </w:p>
        </w:tc>
        <w:tc>
          <w:tcPr>
            <w:tcW w:type="dxa" w:w="656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color w:val="444444"/>
                <w:sz w:val="20"/>
                <w:szCs w:val="20"/>
              </w:rPr>
              <w:t xml:space="preserve">HbA1c band, fasting glucose trend, medication profile (metformin, sulfonylureas, other OHAs). Decision logic sourced from RSSDI 2024 Clinical Practice Recommendations.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300"/>
            </w:pPr>
            <w:r>
              <w:rPr>
                <w:rFonts w:ascii="Calibri" w:cs="Calibri" w:eastAsia="Calibri" w:hAnsi="Calibri"/>
                <w:b/>
                <w:bCs/>
                <w:color w:val="0C2340"/>
                <w:sz w:val="20"/>
                <w:szCs w:val="20"/>
              </w:rPr>
              <w:t xml:space="preserve">Blood Pressure Axis</w:t>
            </w:r>
          </w:p>
        </w:tc>
        <w:tc>
          <w:tcPr>
            <w:tcW w:type="dxa" w:w="6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300"/>
            </w:pPr>
            <w:r>
              <w:rPr>
                <w:rFonts w:ascii="Calibri" w:cs="Calibri" w:eastAsia="Calibri" w:hAnsi="Calibri"/>
                <w:color w:val="444444"/>
                <w:sz w:val="20"/>
                <w:szCs w:val="20"/>
              </w:rPr>
              <w:t xml:space="preserve">Systolic/diastolic classification, current antihypertensives, target BP based on comorbidity profile. Decision logic sourced from ISH 2024 and Indian Hypertension Guidelines (API).</w:t>
            </w:r>
          </w:p>
        </w:tc>
      </w:tr>
    </w:tbl>
    <w:p>
      <w:pPr>
        <w:pStyle w:val="Heading2"/>
        <w:spacing w:before="280" w:after="160"/>
      </w:pPr>
      <w:r>
        <w:rPr>
          <w:rFonts w:ascii="Georgia" w:cs="Georgia" w:eastAsia="Georgia" w:hAnsi="Georgia"/>
          <w:b/>
          <w:bCs/>
          <w:color w:val="1A5276"/>
          <w:sz w:val="26"/>
          <w:szCs w:val="26"/>
        </w:rPr>
        <w:t xml:space="preserve">5.3 Comorbidity Decision Branches</w:t>
      </w:r>
    </w:p>
    <w:p>
      <w:pPr>
        <w:spacing w:after="160" w:line="320"/>
      </w:pPr>
      <w:r>
        <w:rPr>
          <w:rFonts w:ascii="Calibri" w:cs="Calibri" w:eastAsia="Calibri" w:hAnsi="Calibri"/>
          <w:color w:val="333333"/>
          <w:sz w:val="22"/>
          <w:szCs w:val="22"/>
        </w:rPr>
        <w:t xml:space="preserve">These are conditional branches within the same M2 decision trees, not separate modules:</w:t>
      </w:r>
    </w:p>
    <w:p>
      <w:pPr>
        <w:pStyle w:val="ListParagraph"/>
        <w:numPr>
          <w:ilvl w:val="0"/>
          <w:numId w:val="3"/>
        </w:numPr>
        <w:spacing w:after="100" w:line="300"/>
      </w:pPr>
      <w:r>
        <w:rPr>
          <w:rFonts w:ascii="Calibri" w:cs="Calibri" w:eastAsia="Calibri" w:hAnsi="Calibri"/>
          <w:b/>
          <w:bCs/>
          <w:color w:val="0C2340"/>
          <w:sz w:val="20"/>
          <w:szCs w:val="20"/>
        </w:rPr>
        <w:t xml:space="preserve">DM + HTN (most common): </w:t>
      </w:r>
      <w:r>
        <w:rPr>
          <w:rFonts w:ascii="Calibri" w:cs="Calibri" w:eastAsia="Calibri" w:hAnsi="Calibri"/>
          <w:color w:val="444444"/>
          <w:sz w:val="20"/>
          <w:szCs w:val="20"/>
        </w:rPr>
        <w:t xml:space="preserve">ACEi/ARB preferred for BP control (renoprotective). K+ monitoring intensified. UACR added to lab panel. Target BP &lt;130/80.</w:t>
      </w:r>
    </w:p>
    <w:p>
      <w:pPr>
        <w:pStyle w:val="ListParagraph"/>
        <w:numPr>
          <w:ilvl w:val="0"/>
          <w:numId w:val="3"/>
        </w:numPr>
        <w:spacing w:after="100" w:line="300"/>
      </w:pPr>
      <w:r>
        <w:rPr>
          <w:rFonts w:ascii="Calibri" w:cs="Calibri" w:eastAsia="Calibri" w:hAnsi="Calibri"/>
          <w:b/>
          <w:bCs/>
          <w:color w:val="0C2340"/>
          <w:sz w:val="20"/>
          <w:szCs w:val="20"/>
        </w:rPr>
        <w:t xml:space="preserve">DM + HTN + eGFR declining: </w:t>
      </w:r>
      <w:r>
        <w:rPr>
          <w:rFonts w:ascii="Calibri" w:cs="Calibri" w:eastAsia="Calibri" w:hAnsi="Calibri"/>
          <w:color w:val="444444"/>
          <w:sz w:val="20"/>
          <w:szCs w:val="20"/>
        </w:rPr>
        <w:t xml:space="preserve">Tighter BP target. SGLT2i consideration flagged for physician. Protein ceiling enforced at 0.8g/kg/day.</w:t>
      </w:r>
    </w:p>
    <w:p>
      <w:pPr>
        <w:pStyle w:val="ListParagraph"/>
        <w:numPr>
          <w:ilvl w:val="0"/>
          <w:numId w:val="3"/>
        </w:numPr>
        <w:spacing w:after="100" w:line="300"/>
      </w:pPr>
      <w:r>
        <w:rPr>
          <w:rFonts w:ascii="Calibri" w:cs="Calibri" w:eastAsia="Calibri" w:hAnsi="Calibri"/>
          <w:b/>
          <w:bCs/>
          <w:color w:val="0C2340"/>
          <w:sz w:val="20"/>
          <w:szCs w:val="20"/>
        </w:rPr>
        <w:t xml:space="preserve">DM + HTN + dyslipidemia: </w:t>
      </w:r>
      <w:r>
        <w:rPr>
          <w:rFonts w:ascii="Calibri" w:cs="Calibri" w:eastAsia="Calibri" w:hAnsi="Calibri"/>
          <w:color w:val="444444"/>
          <w:sz w:val="20"/>
          <w:szCs w:val="20"/>
        </w:rPr>
        <w:t xml:space="preserve">Statin indication review. All three axes tracked in metabolic graph. Cardiovascular risk composite flagged.</w:t>
      </w:r>
    </w:p>
    <w:p>
      <w:pPr>
        <w:pStyle w:val="ListParagraph"/>
        <w:numPr>
          <w:ilvl w:val="0"/>
          <w:numId w:val="3"/>
        </w:numPr>
        <w:spacing w:after="100" w:line="300"/>
      </w:pPr>
      <w:r>
        <w:rPr>
          <w:rFonts w:ascii="Calibri" w:cs="Calibri" w:eastAsia="Calibri" w:hAnsi="Calibri"/>
          <w:b/>
          <w:bCs/>
          <w:color w:val="0C2340"/>
          <w:sz w:val="20"/>
          <w:szCs w:val="20"/>
        </w:rPr>
        <w:t xml:space="preserve">DM + eGFR &lt;45 (CKD 3b+): </w:t>
      </w:r>
      <w:r>
        <w:rPr>
          <w:rFonts w:ascii="Calibri" w:cs="Calibri" w:eastAsia="Calibri" w:hAnsi="Calibri"/>
          <w:color w:val="444444"/>
          <w:sz w:val="20"/>
          <w:szCs w:val="20"/>
        </w:rPr>
        <w:t xml:space="preserve">Metformin dose review/discontinuation. Protein restricted. Physician-only routing. This is where most titration apps fail. Vaidshala’s renal logic is core.</w:t>
      </w:r>
    </w:p>
    <w:p>
      <w:pPr>
        <w:pStyle w:val="Heading2"/>
        <w:spacing w:before="280" w:after="160"/>
      </w:pPr>
      <w:r>
        <w:rPr>
          <w:rFonts w:ascii="Georgia" w:cs="Georgia" w:eastAsia="Georgia" w:hAnsi="Georgia"/>
          <w:b/>
          <w:bCs/>
          <w:color w:val="1A5276"/>
          <w:sz w:val="26"/>
          <w:szCs w:val="26"/>
        </w:rPr>
        <w:t xml:space="preserve">5.4 The Titration Packet (MCP-Ready Output)</w:t>
      </w:r>
    </w:p>
    <w:p>
      <w:pPr>
        <w:spacing w:after="160" w:line="320"/>
      </w:pPr>
      <w:r>
        <w:rPr>
          <w:rFonts w:ascii="Calibri" w:cs="Calibri" w:eastAsia="Calibri" w:hAnsi="Calibri"/>
          <w:color w:val="333333"/>
          <w:sz w:val="22"/>
          <w:szCs w:val="22"/>
        </w:rPr>
        <w:t xml:space="preserve">Every output is a structured JSON packet, not text. This is the contract with KB-23 and the physician UI:</w:t>
      </w:r>
    </w:p>
    <w:p>
      <w:pPr>
        <w:pStyle w:val="ListParagraph"/>
        <w:numPr>
          <w:ilvl w:val="0"/>
          <w:numId w:val="4"/>
        </w:numPr>
        <w:spacing w:after="100" w:line="300"/>
      </w:pPr>
      <w:r>
        <w:rPr>
          <w:rFonts w:ascii="Calibri" w:cs="Calibri" w:eastAsia="Calibri" w:hAnsi="Calibri"/>
          <w:color w:val="444444"/>
          <w:sz w:val="20"/>
          <w:szCs w:val="20"/>
        </w:rPr>
        <w:t xml:space="preserve">titration_id, patient_id, trigger event</w:t>
      </w:r>
    </w:p>
    <w:p>
      <w:pPr>
        <w:pStyle w:val="ListParagraph"/>
        <w:numPr>
          <w:ilvl w:val="0"/>
          <w:numId w:val="4"/>
        </w:numPr>
        <w:spacing w:after="100" w:line="300"/>
      </w:pPr>
      <w:r>
        <w:rPr>
          <w:rFonts w:ascii="Calibri" w:cs="Calibri" w:eastAsia="Calibri" w:hAnsi="Calibri"/>
          <w:color w:val="444444"/>
          <w:sz w:val="20"/>
          <w:szCs w:val="20"/>
        </w:rPr>
        <w:t xml:space="preserve">current_state: drug, current_dose, fasting_avg, eGFR, concomitant medications</w:t>
      </w:r>
    </w:p>
    <w:p>
      <w:pPr>
        <w:pStyle w:val="ListParagraph"/>
        <w:numPr>
          <w:ilvl w:val="0"/>
          <w:numId w:val="4"/>
        </w:numPr>
        <w:spacing w:after="100" w:line="300"/>
      </w:pPr>
      <w:r>
        <w:rPr>
          <w:rFonts w:ascii="Calibri" w:cs="Calibri" w:eastAsia="Calibri" w:hAnsi="Calibri"/>
          <w:color w:val="444444"/>
          <w:sz w:val="20"/>
          <w:szCs w:val="20"/>
        </w:rPr>
        <w:t xml:space="preserve">policy_proposal: source (KB-3 section citation), action, amount, clinical reason</w:t>
      </w:r>
    </w:p>
    <w:p>
      <w:pPr>
        <w:pStyle w:val="ListParagraph"/>
        <w:numPr>
          <w:ilvl w:val="0"/>
          <w:numId w:val="4"/>
        </w:numPr>
        <w:spacing w:after="100" w:line="300"/>
      </w:pPr>
      <w:r>
        <w:rPr>
          <w:rFonts w:ascii="Calibri" w:cs="Calibri" w:eastAsia="Calibri" w:hAnsi="Calibri"/>
          <w:color w:val="444444"/>
          <w:sz w:val="20"/>
          <w:szCs w:val="20"/>
        </w:rPr>
        <w:t xml:space="preserve">safety_checks[]: each with source, status (PASS/WARNING/FAIL), limit or detail</w:t>
      </w:r>
    </w:p>
    <w:p>
      <w:pPr>
        <w:pStyle w:val="ListParagraph"/>
        <w:numPr>
          <w:ilvl w:val="0"/>
          <w:numId w:val="4"/>
        </w:numPr>
        <w:spacing w:after="100" w:line="300"/>
      </w:pPr>
      <w:r>
        <w:rPr>
          <w:rFonts w:ascii="Calibri" w:cs="Calibri" w:eastAsia="Calibri" w:hAnsi="Calibri"/>
          <w:color w:val="444444"/>
          <w:sz w:val="20"/>
          <w:szCs w:val="20"/>
        </w:rPr>
        <w:t xml:space="preserve">final_decision: action (INCREASE/HOLD/DECREASE/INCREASE_WITH_CAUTION), approved_dose, clinician_alert</w:t>
      </w:r>
    </w:p>
    <w:p>
      <w:pPr>
        <w:pStyle w:val="ListParagraph"/>
        <w:numPr>
          <w:ilvl w:val="0"/>
          <w:numId w:val="4"/>
        </w:numPr>
        <w:spacing w:after="100" w:line="300"/>
      </w:pPr>
      <w:r>
        <w:rPr>
          <w:rFonts w:ascii="Calibri" w:cs="Calibri" w:eastAsia="Calibri" w:hAnsi="Calibri"/>
          <w:color w:val="444444"/>
          <w:sz w:val="20"/>
          <w:szCs w:val="20"/>
        </w:rPr>
        <w:t xml:space="preserve">Evidence Envelope: full audit chain from intake data through M2 logic, safety clearance, human authorization, to KB-18 immutable log</w:t>
      </w:r>
    </w:p>
    <w:p>
      <w:pPr>
        <w:pStyle w:val="Heading2"/>
        <w:spacing w:before="280" w:after="160"/>
      </w:pPr>
      <w:r>
        <w:rPr>
          <w:rFonts w:ascii="Georgia" w:cs="Georgia" w:eastAsia="Georgia" w:hAnsi="Georgia"/>
          <w:b/>
          <w:bCs/>
          <w:color w:val="1A5276"/>
          <w:sz w:val="26"/>
          <w:szCs w:val="26"/>
        </w:rPr>
        <w:t xml:space="preserve">5.5 The Closed-Loop Insulin Extension (V-MCU)</w:t>
      </w:r>
    </w:p>
    <w:p>
      <w:pPr>
        <w:spacing w:after="160" w:line="320"/>
      </w:pPr>
      <w:r>
        <w:rPr>
          <w:rFonts w:ascii="Calibri" w:cs="Calibri" w:eastAsia="Calibri" w:hAnsi="Calibri"/>
          <w:color w:val="333333"/>
          <w:sz w:val="22"/>
          <w:szCs w:val="22"/>
        </w:rPr>
        <w:t xml:space="preserve">For insulin-requiring patients (deferred to v2 after safety systems validated on lower-acuity patients), the Differential Architecture extends into a full metabolic control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D35400" w:val="clear"/>
            <w:tcMar>
              <w:top w:type="dxa" w:w="80"/>
              <w:left w:type="dxa" w:w="140"/>
              <w:bottom w:type="dxa" w:w="80"/>
              <w:right w:type="dxa" w:w="140"/>
            </w:tcMar>
          </w:tcPr>
          <w:p>
            <w:r>
              <w:rPr>
                <w:rFonts w:ascii="Calibri" w:cs="Calibri" w:eastAsia="Calibri" w:hAnsi="Calibri"/>
                <w:b/>
                <w:bCs/>
                <w:color w:val="FFFFFF"/>
                <w:sz w:val="20"/>
                <w:szCs w:val="20"/>
              </w:rPr>
              <w:t xml:space="preserve">Component</w:t>
            </w:r>
          </w:p>
        </w:tc>
        <w:tc>
          <w:tcPr>
            <w:tcW w:type="dxa" w:w="6560"/>
            <w:tcBorders>
              <w:top w:val="single" w:color="D5D8DC" w:sz="1"/>
              <w:left w:val="single" w:color="D5D8DC" w:sz="1"/>
              <w:bottom w:val="single" w:color="D5D8DC" w:sz="1"/>
              <w:right w:val="single" w:color="D5D8DC" w:sz="1"/>
            </w:tcBorders>
            <w:shd w:fill="D35400" w:val="clear"/>
            <w:tcMar>
              <w:top w:type="dxa" w:w="80"/>
              <w:left w:type="dxa" w:w="140"/>
              <w:bottom w:type="dxa" w:w="80"/>
              <w:right w:type="dxa" w:w="140"/>
            </w:tcMar>
          </w:tcPr>
          <w:p>
            <w:r>
              <w:rPr>
                <w:rFonts w:ascii="Calibri" w:cs="Calibri" w:eastAsia="Calibri" w:hAnsi="Calibri"/>
                <w:b/>
                <w:bCs/>
                <w:color w:val="FFFFFF"/>
                <w:sz w:val="20"/>
                <w:szCs w:val="20"/>
              </w:rPr>
              <w:t xml:space="preserve">Detail</w:t>
            </w:r>
          </w:p>
        </w:tc>
      </w:tr>
      <w:tr>
        <w:tc>
          <w:tcPr>
            <w:tcW w:type="dxa" w:w="280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b/>
                <w:bCs/>
                <w:color w:val="0C2340"/>
                <w:sz w:val="20"/>
                <w:szCs w:val="20"/>
              </w:rPr>
              <w:t xml:space="preserve">Basal Optimization Engine</w:t>
            </w:r>
          </w:p>
        </w:tc>
        <w:tc>
          <w:tcPr>
            <w:tcW w:type="dxa" w:w="656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color w:val="444444"/>
                <w:sz w:val="20"/>
                <w:szCs w:val="20"/>
              </w:rPr>
              <w:t xml:space="preserve">Runs daily. 3-day average fasting &gt;130 + no nocturnal hypo → increase basal by 2 units. Any glucose &lt;70 overnight → reduce basal by 10–20%. This is a slow feedback loop (3–7 day cadence). Source: ADA, AACE, KDIGO.</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300"/>
            </w:pPr>
            <w:r>
              <w:rPr>
                <w:rFonts w:ascii="Calibri" w:cs="Calibri" w:eastAsia="Calibri" w:hAnsi="Calibri"/>
                <w:b/>
                <w:bCs/>
                <w:color w:val="0C2340"/>
                <w:sz w:val="20"/>
                <w:szCs w:val="20"/>
              </w:rPr>
              <w:t xml:space="preserve">Bolus Engine</w:t>
            </w:r>
          </w:p>
        </w:tc>
        <w:tc>
          <w:tcPr>
            <w:tcW w:type="dxa" w:w="6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300"/>
            </w:pPr>
            <w:r>
              <w:rPr>
                <w:rFonts w:ascii="Calibri" w:cs="Calibri" w:eastAsia="Calibri" w:hAnsi="Calibri"/>
                <w:color w:val="444444"/>
                <w:sz w:val="20"/>
                <w:szCs w:val="20"/>
              </w:rPr>
              <w:t xml:space="preserve">Runs per meal. Bolus = (Carbs / ICR) + ((Current glucose - Target) / ISF). Auto-adjusts ICR and ISF weekly based on post-prandial trends, hypo frequency, total daily dose shifts. Becomes adaptive over time.</w:t>
            </w:r>
          </w:p>
        </w:tc>
      </w:tr>
      <w:tr>
        <w:tc>
          <w:tcPr>
            <w:tcW w:type="dxa" w:w="280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b/>
                <w:bCs/>
                <w:color w:val="0C2340"/>
                <w:sz w:val="20"/>
                <w:szCs w:val="20"/>
              </w:rPr>
              <w:t xml:space="preserve">Escalation Engine</w:t>
            </w:r>
          </w:p>
        </w:tc>
        <w:tc>
          <w:tcPr>
            <w:tcW w:type="dxa" w:w="656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color w:val="444444"/>
                <w:sz w:val="20"/>
                <w:szCs w:val="20"/>
              </w:rPr>
              <w:t xml:space="preserve">Soft escalation: notify remote care team, request SMBG confirmation. Hard escalation: glucose &gt;350, suspected DKA, severe hypoglycemia, rapid weight loss + SGLT2i → teleconsult, ER referral, care team SMS.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300"/>
            </w:pPr>
            <w:r>
              <w:rPr>
                <w:rFonts w:ascii="Calibri" w:cs="Calibri" w:eastAsia="Calibri" w:hAnsi="Calibri"/>
                <w:b/>
                <w:bCs/>
                <w:color w:val="0C2340"/>
                <w:sz w:val="20"/>
                <w:szCs w:val="20"/>
              </w:rPr>
              <w:t xml:space="preserve">Adaptive Learning Layer</w:t>
            </w:r>
          </w:p>
        </w:tc>
        <w:tc>
          <w:tcPr>
            <w:tcW w:type="dxa" w:w="6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300"/>
            </w:pPr>
            <w:r>
              <w:rPr>
                <w:rFonts w:ascii="Calibri" w:cs="Calibri" w:eastAsia="Calibri" w:hAnsi="Calibri"/>
                <w:color w:val="444444"/>
                <w:sz w:val="20"/>
                <w:szCs w:val="20"/>
              </w:rPr>
              <w:t xml:space="preserve">Weekly: adjust ICR, adjust ISF, detect dawn phenomenon, detect insulin resistance trends. This is where Vaidshala surpasses rule-based engines. After 500+ patients: ML models replace deterministic coefficients.</w:t>
            </w:r>
          </w:p>
        </w:tc>
      </w:tr>
      <w:tr>
        <w:tc>
          <w:tcPr>
            <w:tcW w:type="dxa" w:w="280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b/>
                <w:bCs/>
                <w:color w:val="0C2340"/>
                <w:sz w:val="20"/>
                <w:szCs w:val="20"/>
              </w:rPr>
              <w:t xml:space="preserve">Closed-Loop Levels</w:t>
            </w:r>
          </w:p>
        </w:tc>
        <w:tc>
          <w:tcPr>
            <w:tcW w:type="dxa" w:w="656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color w:val="444444"/>
                <w:sz w:val="20"/>
                <w:szCs w:val="20"/>
              </w:rPr>
              <w:t xml:space="preserve">Level 1 (MVP): System suggests, patient confirms, doctor reviews weekly. Level 2: System auto-adjusts basal within safe band, escalates if risk detected. Level 3 (Future): CGM continuous adjustment, insulin pump integration. Build Level 1 → 2 first.</w:t>
            </w:r>
          </w:p>
        </w:tc>
      </w:tr>
    </w:tbl>
    <w:p>
      <w:pPr>
        <w:pStyle w:val="Heading2"/>
        <w:spacing w:before="280" w:after="160"/>
      </w:pPr>
      <w:r>
        <w:rPr>
          <w:rFonts w:ascii="Georgia" w:cs="Georgia" w:eastAsia="Georgia" w:hAnsi="Georgia"/>
          <w:b/>
          <w:bCs/>
          <w:color w:val="1A5276"/>
          <w:sz w:val="26"/>
          <w:szCs w:val="26"/>
        </w:rPr>
        <w:t xml:space="preserve">5.6 The Arbitration Moat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6"/>
              <w:left w:val="none" w:color="FFFFFF" w:sz="0"/>
              <w:bottom w:val="none" w:color="FFFFFF" w:sz="0"/>
              <w:right w:val="none" w:color="FFFFFF" w:sz="0"/>
            </w:tcBorders>
            <w:shd w:fill="D35400" w:val="clear"/>
            <w:tcMar>
              <w:top w:type="dxa" w:w="140"/>
              <w:left w:type="dxa" w:w="200"/>
              <w:bottom w:type="dxa" w:w="140"/>
              <w:right w:type="dxa" w:w="200"/>
            </w:tcMar>
          </w:tcPr>
          <w:p>
            <w:pPr>
              <w:spacing w:after="60"/>
            </w:pPr>
            <w:r>
              <w:rPr>
                <w:rFonts w:ascii="Calibri" w:cs="Calibri" w:eastAsia="Calibri" w:hAnsi="Calibri"/>
                <w:b/>
                <w:bCs/>
                <w:color w:val="FFFFFF"/>
                <w:sz w:val="20"/>
                <w:szCs w:val="20"/>
              </w:rPr>
              <w:t xml:space="preserve">THE EXAMPLE THAT PROVES IT</w:t>
            </w:r>
          </w:p>
          <w:p>
            <w:pPr>
              <w:spacing w:after="0"/>
            </w:pPr>
            <w:r>
              <w:rPr>
                <w:rFonts w:ascii="Calibri" w:cs="Calibri" w:eastAsia="Calibri" w:hAnsi="Calibri"/>
                <w:color w:val="FFFFFF"/>
                <w:sz w:val="20"/>
                <w:szCs w:val="20"/>
              </w:rPr>
              <w:t xml:space="preserve">Patient: eGFR 28 • On metformin + basal insulin • Potassium 5.3 • Fasting 160. A guideline-lookup tool gives you the ADA recommendation for FBG 160. Vaidshala’s Arbitrator gives you: Hold basal. Flag metformin for discontinuation (eGFR &lt;30 threshold). Urgent K+ recheck (5.3 near danger zone). Physician-only routing. Tele-consult within 24h. That arbitration — across renal function, electrolytes, drug safety, and dose optimization simultaneously — is what makes it hospital-grade.</w:t>
            </w:r>
          </w:p>
        </w:tc>
      </w:tr>
    </w:tbl>
    <w:p>
      <w:r>
        <w:br w:type="page"/>
      </w:r>
    </w:p>
    <w:p>
      <w:pPr>
        <w:pStyle w:val="Heading1"/>
        <w:spacing w:before="360" w:after="200"/>
      </w:pPr>
      <w:r>
        <w:rPr>
          <w:rFonts w:ascii="Georgia" w:cs="Georgia" w:eastAsia="Georgia" w:hAnsi="Georgia"/>
          <w:b/>
          <w:bCs/>
          <w:color w:val="0C2340"/>
          <w:sz w:val="32"/>
          <w:szCs w:val="32"/>
        </w:rPr>
        <w:t xml:space="preserve">6. Engine 4: Behavioral Adaptation Layer</w:t>
      </w:r>
    </w:p>
    <w:p>
      <w:pPr>
        <w:spacing w:after="80"/>
      </w:pPr>
      <w:r>
        <w:rPr>
          <w:rFonts w:ascii="Calibri" w:cs="Calibri" w:eastAsia="Calibri" w:hAnsi="Calibri"/>
          <w:i/>
          <w:iCs/>
          <w:color w:val="7D3C98"/>
          <w:sz w:val="20"/>
          <w:szCs w:val="20"/>
        </w:rPr>
        <w:t xml:space="preserve">KB-21 (Port 8132) + M3 Adaptive Lifestyle Protocol Engine</w:t>
      </w:r>
    </w:p>
    <w:p>
      <w:pPr>
        <w:pBdr>
          <w:left w:val="single" w:color="1A5276" w:sz="12" w:space="12"/>
        </w:pBdr>
        <w:spacing w:before="200" w:after="200" w:line="340"/>
        <w:ind w:left="480" w:right="480"/>
      </w:pPr>
      <w:r>
        <w:rPr>
          <w:rFonts w:ascii="Georgia" w:cs="Georgia" w:eastAsia="Georgia" w:hAnsi="Georgia"/>
          <w:i/>
          <w:iCs/>
          <w:color w:val="1A5276"/>
          <w:sz w:val="24"/>
          <w:szCs w:val="24"/>
        </w:rPr>
        <w:t xml:space="preserve">Measures behavior like KB-13 measures care quality. Constrains communication. Never overrides clinical decisions.</w:t>
      </w:r>
    </w:p>
    <w:p>
      <w:pPr>
        <w:spacing w:after="160" w:line="320"/>
      </w:pPr>
      <w:r>
        <w:rPr>
          <w:rFonts w:ascii="Calibri" w:cs="Calibri" w:eastAsia="Calibri" w:hAnsi="Calibri"/>
          <w:color w:val="333333"/>
          <w:sz w:val="22"/>
          <w:szCs w:val="22"/>
        </w:rPr>
        <w:t xml:space="preserve">This is what makes Vaidshala a correction engine rather than a guideline dispenser. The Behavioral Adaptation Layer bridges the gap between what medicine says the patient should do and what the patient actually does. It runs the four metabolic levers as protocol states (not advice), measures adherence with the precision of a clinical metric, and adapts communication tone and protocol intensity based on observed behavior patterns.</w:t>
      </w:r>
    </w:p>
    <w:p>
      <w:pPr>
        <w:pStyle w:val="Heading2"/>
        <w:spacing w:before="280" w:after="160"/>
      </w:pPr>
      <w:r>
        <w:rPr>
          <w:rFonts w:ascii="Georgia" w:cs="Georgia" w:eastAsia="Georgia" w:hAnsi="Georgia"/>
          <w:b/>
          <w:bCs/>
          <w:color w:val="1A5276"/>
          <w:sz w:val="26"/>
          <w:szCs w:val="26"/>
        </w:rPr>
        <w:t xml:space="preserve">6.1 The Four Metabolic Levers (M3)</w:t>
      </w:r>
    </w:p>
    <w:p>
      <w:pPr>
        <w:spacing w:after="160" w:line="320"/>
      </w:pPr>
      <w:r>
        <w:rPr>
          <w:rFonts w:ascii="Calibri" w:cs="Calibri" w:eastAsia="Calibri" w:hAnsi="Calibri"/>
          <w:color w:val="333333"/>
          <w:sz w:val="22"/>
          <w:szCs w:val="22"/>
        </w:rPr>
        <w:t xml:space="preserve">These are not independent interventions. They address a single interconnected pathology specific to the Indian metabolic phenotype: simultaneous protein depletion, sarcopenia, visceral adiposity, and carbohydrate overload. Each lever reinforces the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7D3C98" w:val="clear"/>
            <w:tcMar>
              <w:top w:type="dxa" w:w="80"/>
              <w:left w:type="dxa" w:w="140"/>
              <w:bottom w:type="dxa" w:w="80"/>
              <w:right w:type="dxa" w:w="140"/>
            </w:tcMar>
          </w:tcPr>
          <w:p>
            <w:r>
              <w:rPr>
                <w:rFonts w:ascii="Calibri" w:cs="Calibri" w:eastAsia="Calibri" w:hAnsi="Calibri"/>
                <w:b/>
                <w:bCs/>
                <w:color w:val="FFFFFF"/>
                <w:sz w:val="20"/>
                <w:szCs w:val="20"/>
              </w:rPr>
              <w:t xml:space="preserve">Component</w:t>
            </w:r>
          </w:p>
        </w:tc>
        <w:tc>
          <w:tcPr>
            <w:tcW w:type="dxa" w:w="6560"/>
            <w:tcBorders>
              <w:top w:val="single" w:color="D5D8DC" w:sz="1"/>
              <w:left w:val="single" w:color="D5D8DC" w:sz="1"/>
              <w:bottom w:val="single" w:color="D5D8DC" w:sz="1"/>
              <w:right w:val="single" w:color="D5D8DC" w:sz="1"/>
            </w:tcBorders>
            <w:shd w:fill="7D3C98" w:val="clear"/>
            <w:tcMar>
              <w:top w:type="dxa" w:w="80"/>
              <w:left w:type="dxa" w:w="140"/>
              <w:bottom w:type="dxa" w:w="80"/>
              <w:right w:type="dxa" w:w="140"/>
            </w:tcMar>
          </w:tcPr>
          <w:p>
            <w:r>
              <w:rPr>
                <w:rFonts w:ascii="Calibri" w:cs="Calibri" w:eastAsia="Calibri" w:hAnsi="Calibri"/>
                <w:b/>
                <w:bCs/>
                <w:color w:val="FFFFFF"/>
                <w:sz w:val="20"/>
                <w:szCs w:val="20"/>
              </w:rPr>
              <w:t xml:space="preserve">Detail</w:t>
            </w:r>
          </w:p>
        </w:tc>
      </w:tr>
      <w:tr>
        <w:tc>
          <w:tcPr>
            <w:tcW w:type="dxa" w:w="280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b/>
                <w:bCs/>
                <w:color w:val="0C2340"/>
                <w:sz w:val="20"/>
                <w:szCs w:val="20"/>
              </w:rPr>
              <w:t xml:space="preserve">Lever 1: Carbohydrate Titration</w:t>
            </w:r>
          </w:p>
        </w:tc>
        <w:tc>
          <w:tcPr>
            <w:tcW w:type="dxa" w:w="656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color w:val="444444"/>
                <w:sz w:val="20"/>
                <w:szCs w:val="20"/>
              </w:rPr>
              <w:t xml:space="preserve">Phase 1 (Days 0–14): Structured meal testing. 4–6 commonly eaten meals tested with ₹30 glucometer strip. Phase 2 (Days 14–90): Substitution ladder. Delta &gt;60 mg/dL → reduce portion 30% or substitute grain. Delta 40–60 → add protein to meal. Delta &lt;40 → maintain. Phase 3 (Ongoing): Adaptive confirmation every 14 days.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300"/>
            </w:pPr>
            <w:r>
              <w:rPr>
                <w:rFonts w:ascii="Calibri" w:cs="Calibri" w:eastAsia="Calibri" w:hAnsi="Calibri"/>
                <w:b/>
                <w:bCs/>
                <w:color w:val="0C2340"/>
                <w:sz w:val="20"/>
                <w:szCs w:val="20"/>
              </w:rPr>
              <w:t xml:space="preserve">Lever 2: Protein Restoration</w:t>
            </w:r>
          </w:p>
        </w:tc>
        <w:tc>
          <w:tcPr>
            <w:tcW w:type="dxa" w:w="6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300"/>
            </w:pPr>
            <w:r>
              <w:rPr>
                <w:rFonts w:ascii="Calibri" w:cs="Calibri" w:eastAsia="Calibri" w:hAnsi="Calibri"/>
                <w:color w:val="444444"/>
                <w:sz w:val="20"/>
                <w:szCs w:val="20"/>
              </w:rPr>
              <w:t xml:space="preserve">Minimum 1.0g/kg/day (above ICMR 0.83 baseline). Target 1.2g/kg with resistance work. Safety ceiling: 0.8g/kg if eGFR &lt;45. Practical sources: dal, egg, paneer, chicken, soy. Patient can reach 60g+ daily for under ₹50 additional cost. CRITICAL: Every resistance protocol carries a paired protein target.</w:t>
            </w:r>
          </w:p>
        </w:tc>
      </w:tr>
      <w:tr>
        <w:tc>
          <w:tcPr>
            <w:tcW w:type="dxa" w:w="280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b/>
                <w:bCs/>
                <w:color w:val="0C2340"/>
                <w:sz w:val="20"/>
                <w:szCs w:val="20"/>
              </w:rPr>
              <w:t xml:space="preserve">Lever 3: Progressive Resistance Training</w:t>
            </w:r>
          </w:p>
        </w:tc>
        <w:tc>
          <w:tcPr>
            <w:tcW w:type="dxa" w:w="656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color w:val="444444"/>
                <w:sz w:val="20"/>
                <w:szCs w:val="20"/>
              </w:rPr>
              <w:t xml:space="preserve">R0 (mobility: chair-based, zero equipment) → R1 (band-based: ₹100 resistance band) → R2 (structured: 3x/week, 20 min) → R3 (progressive overload). Functional proxy: sit-to-stand test (30 seconds). -0.55% HbA1c reduction alone (43 RCTs, n=2012). Comparable to adding a second oral diabetes medication.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300"/>
            </w:pPr>
            <w:r>
              <w:rPr>
                <w:rFonts w:ascii="Calibri" w:cs="Calibri" w:eastAsia="Calibri" w:hAnsi="Calibri"/>
                <w:b/>
                <w:bCs/>
                <w:color w:val="0C2340"/>
                <w:sz w:val="20"/>
                <w:szCs w:val="20"/>
              </w:rPr>
              <w:t xml:space="preserve">Lever 4: Visceral Fat Reduction</w:t>
            </w:r>
          </w:p>
        </w:tc>
        <w:tc>
          <w:tcPr>
            <w:tcW w:type="dxa" w:w="6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300"/>
            </w:pPr>
            <w:r>
              <w:rPr>
                <w:rFonts w:ascii="Calibri" w:cs="Calibri" w:eastAsia="Calibri" w:hAnsi="Calibri"/>
                <w:color w:val="444444"/>
                <w:sz w:val="20"/>
                <w:szCs w:val="20"/>
              </w:rPr>
              <w:t xml:space="preserve">Waist circumference, not weight or BMI. Asian-specific WHO cutoffs: men &gt;90cm, women &gt;80cm. Measured at intake and every 30 days. WC drops 3cm in 90 days → correction trajectory working even if HbA1c has not yet moved (visceral fat reduction precedes glycemic improvement by 4–8 weeks). Leading indicator.</w:t>
            </w:r>
          </w:p>
        </w:tc>
      </w:tr>
    </w:tbl>
    <w:p>
      <w:pPr>
        <w:pStyle w:val="Heading2"/>
        <w:spacing w:before="280" w:after="160"/>
      </w:pPr>
      <w:r>
        <w:rPr>
          <w:rFonts w:ascii="Georgia" w:cs="Georgia" w:eastAsia="Georgia" w:hAnsi="Georgia"/>
          <w:b/>
          <w:bCs/>
          <w:color w:val="1A5276"/>
          <w:sz w:val="26"/>
          <w:szCs w:val="26"/>
        </w:rPr>
        <w:t xml:space="preserve">6.2 Behavioral Metrics Engine (KB-21)</w:t>
      </w:r>
    </w:p>
    <w:p>
      <w:pPr>
        <w:spacing w:after="160" w:line="320"/>
      </w:pPr>
      <w:r>
        <w:rPr>
          <w:rFonts w:ascii="Calibri" w:cs="Calibri" w:eastAsia="Calibri" w:hAnsi="Calibri"/>
          <w:color w:val="333333"/>
          <w:sz w:val="22"/>
          <w:szCs w:val="22"/>
        </w:rPr>
        <w:t xml:space="preserve">KB-21 measures patient behavior with the precision of a clinical metric. It computes:</w:t>
      </w:r>
    </w:p>
    <w:p>
      <w:pPr>
        <w:pStyle w:val="ListParagraph"/>
        <w:numPr>
          <w:ilvl w:val="0"/>
          <w:numId w:val="5"/>
        </w:numPr>
        <w:spacing w:after="100" w:line="300"/>
      </w:pPr>
      <w:r>
        <w:rPr>
          <w:rFonts w:ascii="Calibri" w:cs="Calibri" w:eastAsia="Calibri" w:hAnsi="Calibri"/>
          <w:b/>
          <w:bCs/>
          <w:color w:val="0C2340"/>
          <w:sz w:val="20"/>
          <w:szCs w:val="20"/>
        </w:rPr>
        <w:t xml:space="preserve">Meal adherence score: </w:t>
      </w:r>
      <w:r>
        <w:rPr>
          <w:rFonts w:ascii="Calibri" w:cs="Calibri" w:eastAsia="Calibri" w:hAnsi="Calibri"/>
          <w:color w:val="444444"/>
          <w:sz w:val="20"/>
          <w:szCs w:val="20"/>
        </w:rPr>
        <w:t xml:space="preserve">Based on check-in self-reports and meal test results. Feeds directly into KB-20’s trajectory score (25% weight).</w:t>
      </w:r>
    </w:p>
    <w:p>
      <w:pPr>
        <w:pStyle w:val="ListParagraph"/>
        <w:numPr>
          <w:ilvl w:val="0"/>
          <w:numId w:val="5"/>
        </w:numPr>
        <w:spacing w:after="100" w:line="300"/>
      </w:pPr>
      <w:r>
        <w:rPr>
          <w:rFonts w:ascii="Calibri" w:cs="Calibri" w:eastAsia="Calibri" w:hAnsi="Calibri"/>
          <w:b/>
          <w:bCs/>
          <w:color w:val="0C2340"/>
          <w:sz w:val="20"/>
          <w:szCs w:val="20"/>
        </w:rPr>
        <w:t xml:space="preserve">Protein score: </w:t>
      </w:r>
      <w:r>
        <w:rPr>
          <w:rFonts w:ascii="Calibri" w:cs="Calibri" w:eastAsia="Calibri" w:hAnsi="Calibri"/>
          <w:color w:val="444444"/>
          <w:sz w:val="20"/>
          <w:szCs w:val="20"/>
        </w:rPr>
        <w:t xml:space="preserve">Based on protein adherence self-reports. Feeds KB-20 trajectory (20% weight).</w:t>
      </w:r>
    </w:p>
    <w:p>
      <w:pPr>
        <w:pStyle w:val="ListParagraph"/>
        <w:numPr>
          <w:ilvl w:val="0"/>
          <w:numId w:val="5"/>
        </w:numPr>
        <w:spacing w:after="100" w:line="300"/>
      </w:pPr>
      <w:r>
        <w:rPr>
          <w:rFonts w:ascii="Calibri" w:cs="Calibri" w:eastAsia="Calibri" w:hAnsi="Calibri"/>
          <w:b/>
          <w:bCs/>
          <w:color w:val="0C2340"/>
          <w:sz w:val="20"/>
          <w:szCs w:val="20"/>
        </w:rPr>
        <w:t xml:space="preserve">Walk score: </w:t>
      </w:r>
      <w:r>
        <w:rPr>
          <w:rFonts w:ascii="Calibri" w:cs="Calibri" w:eastAsia="Calibri" w:hAnsi="Calibri"/>
          <w:color w:val="444444"/>
          <w:sz w:val="20"/>
          <w:szCs w:val="20"/>
        </w:rPr>
        <w:t xml:space="preserve">Based on exercise adherence self-reports and functional test results. Feeds KB-20 trajectory (15% weight).</w:t>
      </w:r>
    </w:p>
    <w:p>
      <w:pPr>
        <w:pStyle w:val="ListParagraph"/>
        <w:numPr>
          <w:ilvl w:val="0"/>
          <w:numId w:val="5"/>
        </w:numPr>
        <w:spacing w:after="100" w:line="300"/>
      </w:pPr>
      <w:r>
        <w:rPr>
          <w:rFonts w:ascii="Calibri" w:cs="Calibri" w:eastAsia="Calibri" w:hAnsi="Calibri"/>
          <w:b/>
          <w:bCs/>
          <w:color w:val="0C2340"/>
          <w:sz w:val="20"/>
          <w:szCs w:val="20"/>
        </w:rPr>
        <w:t xml:space="preserve">Check-in response rate: </w:t>
      </w:r>
      <w:r>
        <w:rPr>
          <w:rFonts w:ascii="Calibri" w:cs="Calibri" w:eastAsia="Calibri" w:hAnsi="Calibri"/>
          <w:color w:val="444444"/>
          <w:sz w:val="20"/>
          <w:szCs w:val="20"/>
        </w:rPr>
        <w:t xml:space="preserve">Percentage of biweekly check-ins completed. Decline triggers engagement decay detection.</w:t>
      </w:r>
    </w:p>
    <w:p>
      <w:pPr>
        <w:pStyle w:val="ListParagraph"/>
        <w:numPr>
          <w:ilvl w:val="0"/>
          <w:numId w:val="5"/>
        </w:numPr>
        <w:spacing w:after="100" w:line="300"/>
      </w:pPr>
      <w:r>
        <w:rPr>
          <w:rFonts w:ascii="Calibri" w:cs="Calibri" w:eastAsia="Calibri" w:hAnsi="Calibri"/>
          <w:b/>
          <w:bCs/>
          <w:color w:val="0C2340"/>
          <w:sz w:val="20"/>
          <w:szCs w:val="20"/>
        </w:rPr>
        <w:t xml:space="preserve">Engagement classification: </w:t>
      </w:r>
      <w:r>
        <w:rPr>
          <w:rFonts w:ascii="Calibri" w:cs="Calibri" w:eastAsia="Calibri" w:hAnsi="Calibri"/>
          <w:color w:val="444444"/>
          <w:sz w:val="20"/>
          <w:szCs w:val="20"/>
        </w:rPr>
        <w:t xml:space="preserve">Active / Declining / Disengaged. Deterministic thresholds for v1.</w:t>
      </w:r>
    </w:p>
    <w:p>
      <w:pPr>
        <w:pStyle w:val="ListParagraph"/>
        <w:numPr>
          <w:ilvl w:val="0"/>
          <w:numId w:val="5"/>
        </w:numPr>
        <w:spacing w:after="100" w:line="300"/>
      </w:pPr>
      <w:r>
        <w:rPr>
          <w:rFonts w:ascii="Calibri" w:cs="Calibri" w:eastAsia="Calibri" w:hAnsi="Calibri"/>
          <w:b/>
          <w:bCs/>
          <w:color w:val="0C2340"/>
          <w:sz w:val="20"/>
          <w:szCs w:val="20"/>
        </w:rPr>
        <w:t xml:space="preserve">Tone selection: </w:t>
      </w:r>
      <w:r>
        <w:rPr>
          <w:rFonts w:ascii="Calibri" w:cs="Calibri" w:eastAsia="Calibri" w:hAnsi="Calibri"/>
          <w:color w:val="444444"/>
          <w:sz w:val="20"/>
          <w:szCs w:val="20"/>
        </w:rPr>
        <w:t xml:space="preserve">Four tones adapted to patient state. Travels with every outbound WhatsApp message via Tier -1.</w:t>
      </w:r>
    </w:p>
    <w:p>
      <w:pPr>
        <w:pStyle w:val="Heading2"/>
        <w:spacing w:before="280" w:after="160"/>
      </w:pPr>
      <w:r>
        <w:rPr>
          <w:rFonts w:ascii="Georgia" w:cs="Georgia" w:eastAsia="Georgia" w:hAnsi="Georgia"/>
          <w:b/>
          <w:bCs/>
          <w:color w:val="1A5276"/>
          <w:sz w:val="26"/>
          <w:szCs w:val="26"/>
        </w:rPr>
        <w:t xml:space="preserve">6.3 Tone Selection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7D3C98" w:val="clear"/>
            <w:tcMar>
              <w:top w:type="dxa" w:w="80"/>
              <w:left w:type="dxa" w:w="140"/>
              <w:bottom w:type="dxa" w:w="80"/>
              <w:right w:type="dxa" w:w="140"/>
            </w:tcMar>
          </w:tcPr>
          <w:p>
            <w:r>
              <w:rPr>
                <w:rFonts w:ascii="Calibri" w:cs="Calibri" w:eastAsia="Calibri" w:hAnsi="Calibri"/>
                <w:b/>
                <w:bCs/>
                <w:color w:val="333333"/>
                <w:sz w:val="20"/>
                <w:szCs w:val="20"/>
              </w:rPr>
              <w:t xml:space="preserve">Component</w:t>
            </w:r>
          </w:p>
        </w:tc>
        <w:tc>
          <w:tcPr>
            <w:tcW w:type="dxa" w:w="6560"/>
            <w:tcBorders>
              <w:top w:val="single" w:color="D5D8DC" w:sz="1"/>
              <w:left w:val="single" w:color="D5D8DC" w:sz="1"/>
              <w:bottom w:val="single" w:color="D5D8DC" w:sz="1"/>
              <w:right w:val="single" w:color="D5D8DC" w:sz="1"/>
            </w:tcBorders>
            <w:shd w:fill="7D3C98" w:val="clear"/>
            <w:tcMar>
              <w:top w:type="dxa" w:w="80"/>
              <w:left w:type="dxa" w:w="140"/>
              <w:bottom w:type="dxa" w:w="80"/>
              <w:right w:type="dxa" w:w="140"/>
            </w:tcMar>
          </w:tcPr>
          <w:p>
            <w:r>
              <w:rPr>
                <w:rFonts w:ascii="Calibri" w:cs="Calibri" w:eastAsia="Calibri" w:hAnsi="Calibri"/>
                <w:b/>
                <w:bCs/>
                <w:color w:val="333333"/>
                <w:sz w:val="20"/>
                <w:szCs w:val="20"/>
              </w:rPr>
              <w:t xml:space="preserve">Detail</w:t>
            </w:r>
          </w:p>
        </w:tc>
      </w:tr>
      <w:tr>
        <w:tc>
          <w:tcPr>
            <w:tcW w:type="dxa" w:w="280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b/>
                <w:bCs/>
                <w:color w:val="0C2340"/>
                <w:sz w:val="20"/>
                <w:szCs w:val="20"/>
              </w:rPr>
              <w:t xml:space="preserve">Sathi (Encourager)</w:t>
            </w:r>
          </w:p>
        </w:tc>
        <w:tc>
          <w:tcPr>
            <w:tcW w:type="dxa" w:w="656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color w:val="444444"/>
                <w:sz w:val="20"/>
                <w:szCs w:val="20"/>
              </w:rPr>
              <w:t xml:space="preserve">For GREEN patients with high engagement. Warm, celebratory. “Aapki mehnat rang la rahi hai!”</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300"/>
            </w:pPr>
            <w:r>
              <w:rPr>
                <w:rFonts w:ascii="Calibri" w:cs="Calibri" w:eastAsia="Calibri" w:hAnsi="Calibri"/>
                <w:b/>
                <w:bCs/>
                <w:color w:val="0C2340"/>
                <w:sz w:val="20"/>
                <w:szCs w:val="20"/>
              </w:rPr>
              <w:t xml:space="preserve">Guru (Firm Guide)</w:t>
            </w:r>
          </w:p>
        </w:tc>
        <w:tc>
          <w:tcPr>
            <w:tcW w:type="dxa" w:w="6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300"/>
            </w:pPr>
            <w:r>
              <w:rPr>
                <w:rFonts w:ascii="Calibri" w:cs="Calibri" w:eastAsia="Calibri" w:hAnsi="Calibri"/>
                <w:color w:val="444444"/>
                <w:sz w:val="20"/>
                <w:szCs w:val="20"/>
              </w:rPr>
              <w:t xml:space="preserve">For YELLOW patients with declining adherence. Firm but respectful. Directive. “Protein aur badhana hoga.”</w:t>
            </w:r>
          </w:p>
        </w:tc>
      </w:tr>
      <w:tr>
        <w:tc>
          <w:tcPr>
            <w:tcW w:type="dxa" w:w="280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b/>
                <w:bCs/>
                <w:color w:val="0C2340"/>
                <w:sz w:val="20"/>
                <w:szCs w:val="20"/>
              </w:rPr>
              <w:t xml:space="preserve">Dost (Supportive Friend)</w:t>
            </w:r>
          </w:p>
        </w:tc>
        <w:tc>
          <w:tcPr>
            <w:tcW w:type="dxa" w:w="656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color w:val="444444"/>
                <w:sz w:val="20"/>
                <w:szCs w:val="20"/>
              </w:rPr>
              <w:t xml:space="preserve">For re-engagement after silence. Understanding, non-judgmental. “Kuch din se baat nahi hui. Sab theek hai?”</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300"/>
            </w:pPr>
            <w:r>
              <w:rPr>
                <w:rFonts w:ascii="Calibri" w:cs="Calibri" w:eastAsia="Calibri" w:hAnsi="Calibri"/>
                <w:b/>
                <w:bCs/>
                <w:color w:val="0C2340"/>
                <w:sz w:val="20"/>
                <w:szCs w:val="20"/>
              </w:rPr>
              <w:t xml:space="preserve">Doctor-voice (Clinical Authority)</w:t>
            </w:r>
          </w:p>
        </w:tc>
        <w:tc>
          <w:tcPr>
            <w:tcW w:type="dxa" w:w="6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300"/>
            </w:pPr>
            <w:r>
              <w:rPr>
                <w:rFonts w:ascii="Calibri" w:cs="Calibri" w:eastAsia="Calibri" w:hAnsi="Calibri"/>
                <w:color w:val="444444"/>
                <w:sz w:val="20"/>
                <w:szCs w:val="20"/>
              </w:rPr>
              <w:t xml:space="preserve">For RED flags and safety. Authoritative, urgent. Used sparingly. “Yeh zaroori hai. Abhi doctor se milein.”</w:t>
            </w:r>
          </w:p>
        </w:tc>
      </w:tr>
    </w:tbl>
    <w:p>
      <w:pPr>
        <w:pStyle w:val="Heading2"/>
        <w:spacing w:before="280" w:after="160"/>
      </w:pPr>
      <w:r>
        <w:rPr>
          <w:rFonts w:ascii="Georgia" w:cs="Georgia" w:eastAsia="Georgia" w:hAnsi="Georgia"/>
          <w:b/>
          <w:bCs/>
          <w:color w:val="1A5276"/>
          <w:sz w:val="26"/>
          <w:szCs w:val="26"/>
        </w:rPr>
        <w:t xml:space="preserve">6.4 Festival Mode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DAEF" w:val="clear"/>
            <w:tcMar>
              <w:top w:type="dxa" w:w="160"/>
              <w:left w:type="dxa" w:w="240"/>
              <w:bottom w:type="dxa" w:w="160"/>
              <w:right w:type="dxa" w:w="240"/>
            </w:tcMar>
          </w:tcPr>
          <w:p>
            <w:pPr>
              <w:spacing w:after="0" w:line="320"/>
            </w:pPr>
            <w:r>
              <w:rPr>
                <w:rFonts w:ascii="Calibri" w:cs="Calibri" w:eastAsia="Calibri" w:hAnsi="Calibri"/>
                <w:color w:val="333333"/>
                <w:sz w:val="22"/>
                <w:szCs w:val="22"/>
              </w:rPr>
              <w:t xml:space="preserve">FESTIVAL_MODE gives patients explicit permission to enjoy Diwali, Pongal, Eid, Chhath, and Ramadan with a clear “resume Monday” instruction. This is not clinical laxity. It is retention engineering. The number one killer of adherence in India is not non-compliance. It is guilt after non-compliance. A patient who eats sweets during Diwali and then feels too ashamed to respond to the next check-in is a patient who drops out of the program. Festival Mode prevents that spiral.</w:t>
            </w:r>
          </w:p>
        </w:tc>
      </w:tr>
    </w:tbl>
    <w:p>
      <w:pPr>
        <w:pStyle w:val="Heading2"/>
        <w:spacing w:before="280" w:after="160"/>
      </w:pPr>
      <w:r>
        <w:rPr>
          <w:rFonts w:ascii="Georgia" w:cs="Georgia" w:eastAsia="Georgia" w:hAnsi="Georgia"/>
          <w:b/>
          <w:bCs/>
          <w:color w:val="1A5276"/>
          <w:sz w:val="26"/>
          <w:szCs w:val="26"/>
        </w:rPr>
        <w:t xml:space="preserve">6.5 Governance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none" w:color="FFFFFF" w:sz="0"/>
              <w:bottom w:val="none" w:color="FFFFFF" w:sz="0"/>
              <w:right w:val="none" w:color="FFFFFF" w:sz="0"/>
            </w:tcBorders>
            <w:shd w:fill="C0392B" w:val="clear"/>
            <w:tcMar>
              <w:top w:type="dxa" w:w="140"/>
              <w:left w:type="dxa" w:w="200"/>
              <w:bottom w:type="dxa" w:w="140"/>
              <w:right w:type="dxa" w:w="200"/>
            </w:tcMar>
          </w:tcPr>
          <w:p>
            <w:pPr>
              <w:spacing w:after="60"/>
            </w:pPr>
            <w:r>
              <w:rPr>
                <w:rFonts w:ascii="Calibri" w:cs="Calibri" w:eastAsia="Calibri" w:hAnsi="Calibri"/>
                <w:b/>
                <w:bCs/>
                <w:color w:val="FFFFFF"/>
                <w:sz w:val="20"/>
                <w:szCs w:val="20"/>
              </w:rPr>
              <w:t xml:space="preserve">HARD RULE</w:t>
            </w:r>
          </w:p>
          <w:p>
            <w:pPr>
              <w:spacing w:after="0"/>
            </w:pPr>
            <w:r>
              <w:rPr>
                <w:rFonts w:ascii="Calibri" w:cs="Calibri" w:eastAsia="Calibri" w:hAnsi="Calibri"/>
                <w:color w:val="FFFFFF"/>
                <w:sz w:val="20"/>
                <w:szCs w:val="20"/>
              </w:rPr>
              <w:t xml:space="preserve">KB-21 constrains communication style and protocol intensity. It NEVER overrides a clinical decision from M2 or the Safety Supervisor. If M2 says “increase medication” and KB-21 says “patient is disengaged,” the medication decision stands. KB-21 may adjust the communication tone and coach outreach strategy around that decision, but it cannot veto it.</w:t>
            </w:r>
          </w:p>
        </w:tc>
      </w:tr>
    </w:tbl>
    <w:p>
      <w:r>
        <w:br w:type="page"/>
      </w:r>
    </w:p>
    <w:p>
      <w:pPr>
        <w:pStyle w:val="Heading1"/>
        <w:spacing w:before="360" w:after="200"/>
      </w:pPr>
      <w:r>
        <w:rPr>
          <w:rFonts w:ascii="Georgia" w:cs="Georgia" w:eastAsia="Georgia" w:hAnsi="Georgia"/>
          <w:b/>
          <w:bCs/>
          <w:color w:val="0C2340"/>
          <w:sz w:val="32"/>
          <w:szCs w:val="32"/>
        </w:rPr>
        <w:t xml:space="preserve">7. How the Four Engines Compose</w:t>
      </w:r>
    </w:p>
    <w:p>
      <w:pPr>
        <w:pStyle w:val="Heading2"/>
        <w:spacing w:before="280" w:after="160"/>
      </w:pPr>
      <w:r>
        <w:rPr>
          <w:rFonts w:ascii="Georgia" w:cs="Georgia" w:eastAsia="Georgia" w:hAnsi="Georgia"/>
          <w:b/>
          <w:bCs/>
          <w:color w:val="1A5276"/>
          <w:sz w:val="26"/>
          <w:szCs w:val="26"/>
        </w:rPr>
        <w:t xml:space="preserve">7.1 Patient → Doctor Flow</w:t>
      </w:r>
    </w:p>
    <w:p>
      <w:pPr>
        <w:spacing w:after="160" w:line="320"/>
      </w:pPr>
      <w:r>
        <w:rPr>
          <w:rFonts w:ascii="Calibri" w:cs="Calibri" w:eastAsia="Calibri" w:hAnsi="Calibri"/>
          <w:color w:val="333333"/>
          <w:sz w:val="22"/>
          <w:szCs w:val="22"/>
        </w:rPr>
        <w:t xml:space="preserve">Every patient interaction follows this path through all four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1A5276" w:val="clear"/>
            <w:tcMar>
              <w:top w:type="dxa" w:w="80"/>
              <w:left w:type="dxa" w:w="140"/>
              <w:bottom w:type="dxa" w:w="80"/>
              <w:right w:type="dxa" w:w="140"/>
            </w:tcMar>
          </w:tcPr>
          <w:p>
            <w:r>
              <w:rPr>
                <w:rFonts w:ascii="Calibri" w:cs="Calibri" w:eastAsia="Calibri" w:hAnsi="Calibri"/>
                <w:b/>
                <w:bCs/>
                <w:color w:val="FFFFFF"/>
                <w:sz w:val="20"/>
                <w:szCs w:val="20"/>
              </w:rPr>
              <w:t xml:space="preserve">Component</w:t>
            </w:r>
          </w:p>
        </w:tc>
        <w:tc>
          <w:tcPr>
            <w:tcW w:type="dxa" w:w="6560"/>
            <w:tcBorders>
              <w:top w:val="single" w:color="D5D8DC" w:sz="1"/>
              <w:left w:val="single" w:color="D5D8DC" w:sz="1"/>
              <w:bottom w:val="single" w:color="D5D8DC" w:sz="1"/>
              <w:right w:val="single" w:color="D5D8DC" w:sz="1"/>
            </w:tcBorders>
            <w:shd w:fill="1A5276" w:val="clear"/>
            <w:tcMar>
              <w:top w:type="dxa" w:w="80"/>
              <w:left w:type="dxa" w:w="140"/>
              <w:bottom w:type="dxa" w:w="80"/>
              <w:right w:type="dxa" w:w="140"/>
            </w:tcMar>
          </w:tcPr>
          <w:p>
            <w:r>
              <w:rPr>
                <w:rFonts w:ascii="Calibri" w:cs="Calibri" w:eastAsia="Calibri" w:hAnsi="Calibri"/>
                <w:b/>
                <w:bCs/>
                <w:color w:val="FFFFFF"/>
                <w:sz w:val="20"/>
                <w:szCs w:val="20"/>
              </w:rPr>
              <w:t xml:space="preserve">Detail</w:t>
            </w:r>
          </w:p>
        </w:tc>
      </w:tr>
      <w:tr>
        <w:tc>
          <w:tcPr>
            <w:tcW w:type="dxa" w:w="280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b/>
                <w:bCs/>
                <w:color w:val="0C2340"/>
                <w:sz w:val="20"/>
                <w:szCs w:val="20"/>
              </w:rPr>
              <w:t xml:space="preserve">Step 1: Patient Input</w:t>
            </w:r>
          </w:p>
        </w:tc>
        <w:tc>
          <w:tcPr>
            <w:tcW w:type="dxa" w:w="656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color w:val="444444"/>
                <w:sz w:val="20"/>
                <w:szCs w:val="20"/>
              </w:rPr>
              <w:t xml:space="preserve">WhatsApp message (text, button tap, voice note, lab photo). Arrives at Tier -1 (Port 8130).</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300"/>
            </w:pPr>
            <w:r>
              <w:rPr>
                <w:rFonts w:ascii="Calibri" w:cs="Calibri" w:eastAsia="Calibri" w:hAnsi="Calibri"/>
                <w:b/>
                <w:bCs/>
                <w:color w:val="0C2340"/>
                <w:sz w:val="20"/>
                <w:szCs w:val="20"/>
              </w:rPr>
              <w:t xml:space="preserve">Step 2: Tier -1 Extraction</w:t>
            </w:r>
          </w:p>
        </w:tc>
        <w:tc>
          <w:tcPr>
            <w:tcW w:type="dxa" w:w="6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300"/>
            </w:pPr>
            <w:r>
              <w:rPr>
                <w:rFonts w:ascii="Calibri" w:cs="Calibri" w:eastAsia="Calibri" w:hAnsi="Calibri"/>
                <w:color w:val="444444"/>
                <w:sz w:val="20"/>
                <w:szCs w:val="20"/>
              </w:rPr>
              <w:t xml:space="preserve">NLU pipeline extracts structured values. ASR converts voice. Safety Gate queries KB-4. FHIR Observation emitted. If HARD_STOP → immediate safety message + ICU Intelligence bypass.</w:t>
            </w:r>
          </w:p>
        </w:tc>
      </w:tr>
      <w:tr>
        <w:tc>
          <w:tcPr>
            <w:tcW w:type="dxa" w:w="280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b/>
                <w:bCs/>
                <w:color w:val="0C2340"/>
                <w:sz w:val="20"/>
                <w:szCs w:val="20"/>
              </w:rPr>
              <w:t xml:space="preserve">Step 3: Longitudinal Update</w:t>
            </w:r>
          </w:p>
        </w:tc>
        <w:tc>
          <w:tcPr>
            <w:tcW w:type="dxa" w:w="656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color w:val="444444"/>
                <w:sz w:val="20"/>
                <w:szCs w:val="20"/>
              </w:rPr>
              <w:t xml:space="preserve">KB-20 updates longitudinal state: rolling means, meal rankings, trajectory score. If biweekly check-in complete: recomputes trajectory classification.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300"/>
            </w:pPr>
            <w:r>
              <w:rPr>
                <w:rFonts w:ascii="Calibri" w:cs="Calibri" w:eastAsia="Calibri" w:hAnsi="Calibri"/>
                <w:b/>
                <w:bCs/>
                <w:color w:val="0C2340"/>
                <w:sz w:val="20"/>
                <w:szCs w:val="20"/>
              </w:rPr>
              <w:t xml:space="preserve">Step 4: Behavioral Update</w:t>
            </w:r>
          </w:p>
        </w:tc>
        <w:tc>
          <w:tcPr>
            <w:tcW w:type="dxa" w:w="6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300"/>
            </w:pPr>
            <w:r>
              <w:rPr>
                <w:rFonts w:ascii="Calibri" w:cs="Calibri" w:eastAsia="Calibri" w:hAnsi="Calibri"/>
                <w:color w:val="444444"/>
                <w:sz w:val="20"/>
                <w:szCs w:val="20"/>
              </w:rPr>
              <w:t xml:space="preserve">KB-21 updates behavioral metrics: adherence, engagement, tone selection. If disengagement risk detected: flags KB-20 for RED override.</w:t>
            </w:r>
          </w:p>
        </w:tc>
      </w:tr>
      <w:tr>
        <w:tc>
          <w:tcPr>
            <w:tcW w:type="dxa" w:w="280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b/>
                <w:bCs/>
                <w:color w:val="0C2340"/>
                <w:sz w:val="20"/>
                <w:szCs w:val="20"/>
              </w:rPr>
              <w:t xml:space="preserve">Step 5: Clinical Reasoning</w:t>
            </w:r>
          </w:p>
        </w:tc>
        <w:tc>
          <w:tcPr>
            <w:tcW w:type="dxa" w:w="656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color w:val="444444"/>
                <w:sz w:val="20"/>
                <w:szCs w:val="20"/>
              </w:rPr>
              <w:t xml:space="preserve">If symptom detected: KB-22 (HPI Engine) activates, conducts adaptive questioning, produces HPI_REPORT. M2 applies Policy → Safety Supervisor challenges → Arbitrator resolves.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300"/>
            </w:pPr>
            <w:r>
              <w:rPr>
                <w:rFonts w:ascii="Calibri" w:cs="Calibri" w:eastAsia="Calibri" w:hAnsi="Calibri"/>
                <w:b/>
                <w:bCs/>
                <w:color w:val="0C2340"/>
                <w:sz w:val="20"/>
                <w:szCs w:val="20"/>
              </w:rPr>
              <w:t xml:space="preserve">Step 6: Decision Card Assembly</w:t>
            </w:r>
          </w:p>
        </w:tc>
        <w:tc>
          <w:tcPr>
            <w:tcW w:type="dxa" w:w="6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300"/>
            </w:pPr>
            <w:r>
              <w:rPr>
                <w:rFonts w:ascii="Calibri" w:cs="Calibri" w:eastAsia="Calibri" w:hAnsi="Calibri"/>
                <w:color w:val="444444"/>
                <w:sz w:val="20"/>
                <w:szCs w:val="20"/>
              </w:rPr>
              <w:t xml:space="preserve">KB-23 assembles single-screen Decision Card from KB-20 trajectory + KB-21 metrics + KB-22 HPI report (if any) + M2 recommendation. Card rendered in v3 physician UI.</w:t>
            </w:r>
          </w:p>
        </w:tc>
      </w:tr>
      <w:tr>
        <w:tc>
          <w:tcPr>
            <w:tcW w:type="dxa" w:w="280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b/>
                <w:bCs/>
                <w:color w:val="0C2340"/>
                <w:sz w:val="20"/>
                <w:szCs w:val="20"/>
              </w:rPr>
              <w:t xml:space="preserve">Step 7: Physician Action</w:t>
            </w:r>
          </w:p>
        </w:tc>
        <w:tc>
          <w:tcPr>
            <w:tcW w:type="dxa" w:w="656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color w:val="444444"/>
                <w:sz w:val="20"/>
                <w:szCs w:val="20"/>
              </w:rPr>
              <w:t xml:space="preserve">Physician reviews Decision Card in 30–90 seconds. Taps: Approve / Modify / Escalate / Override+Reason.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300"/>
            </w:pPr>
            <w:r>
              <w:rPr>
                <w:rFonts w:ascii="Calibri" w:cs="Calibri" w:eastAsia="Calibri" w:hAnsi="Calibri"/>
                <w:b/>
                <w:bCs/>
                <w:color w:val="0C2340"/>
                <w:sz w:val="20"/>
                <w:szCs w:val="20"/>
              </w:rPr>
              <w:t xml:space="preserve">Step 8: Patient Delivery</w:t>
            </w:r>
          </w:p>
        </w:tc>
        <w:tc>
          <w:tcPr>
            <w:tcW w:type="dxa" w:w="6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300"/>
            </w:pPr>
            <w:r>
              <w:rPr>
                <w:rFonts w:ascii="Calibri" w:cs="Calibri" w:eastAsia="Calibri" w:hAnsi="Calibri"/>
                <w:color w:val="444444"/>
                <w:sz w:val="20"/>
                <w:szCs w:val="20"/>
              </w:rPr>
              <w:t xml:space="preserve">KB-19 commits transaction. KB-18 produces immutable audit trail. KB-20 updates patient state. Tier -1 delivers to patient via WhatsApp in Hindi, tone-adjusted by KB-21.</w:t>
            </w:r>
          </w:p>
        </w:tc>
      </w:tr>
    </w:tbl>
    <w:p>
      <w:pPr>
        <w:pStyle w:val="Heading2"/>
        <w:spacing w:before="280" w:after="160"/>
      </w:pPr>
      <w:r>
        <w:rPr>
          <w:rFonts w:ascii="Georgia" w:cs="Georgia" w:eastAsia="Georgia" w:hAnsi="Georgia"/>
          <w:b/>
          <w:bCs/>
          <w:color w:val="1A5276"/>
          <w:sz w:val="26"/>
          <w:szCs w:val="26"/>
        </w:rPr>
        <w:t xml:space="preserve">7.2 The Commit Chain</w:t>
      </w:r>
    </w:p>
    <w:p>
      <w:pPr>
        <w:spacing w:after="160" w:line="320"/>
      </w:pPr>
      <w:r>
        <w:rPr>
          <w:rFonts w:ascii="Calibri" w:cs="Calibri" w:eastAsia="Calibri" w:hAnsi="Calibri"/>
          <w:color w:val="333333"/>
          <w:sz w:val="22"/>
          <w:szCs w:val="22"/>
        </w:rPr>
        <w:t xml:space="preserve">When the physician taps an action button on a Decision Card, the following chain executes through v3’s existing transaction infrastructure:</w:t>
      </w:r>
    </w:p>
    <w:p>
      <w:pPr>
        <w:pStyle w:val="ListParagraph"/>
        <w:numPr>
          <w:ilvl w:val="0"/>
          <w:numId w:val="6"/>
        </w:numPr>
        <w:spacing w:after="100" w:line="300"/>
      </w:pPr>
      <w:r>
        <w:rPr>
          <w:rFonts w:ascii="Calibri" w:cs="Calibri" w:eastAsia="Calibri" w:hAnsi="Calibri"/>
          <w:color w:val="444444"/>
          <w:sz w:val="20"/>
          <w:szCs w:val="20"/>
        </w:rPr>
        <w:t xml:space="preserve">KB-23 assembles transaction payload: action type, patient ID, Decision Card ID, physician ID, timestamp, clinical justification (auto-generated from card content).</w:t>
      </w:r>
    </w:p>
    <w:p>
      <w:pPr>
        <w:pStyle w:val="ListParagraph"/>
        <w:numPr>
          <w:ilvl w:val="0"/>
          <w:numId w:val="6"/>
        </w:numPr>
        <w:spacing w:after="100" w:line="300"/>
      </w:pPr>
      <w:r>
        <w:rPr>
          <w:rFonts w:ascii="Calibri" w:cs="Calibri" w:eastAsia="Calibri" w:hAnsi="Calibri"/>
          <w:color w:val="444444"/>
          <w:sz w:val="20"/>
          <w:szCs w:val="20"/>
        </w:rPr>
        <w:t xml:space="preserve">KB-19 validates: Is this action consistent with current clinical rules? Any KB-4 safety conflict? Any KB-5 interaction issue?</w:t>
      </w:r>
    </w:p>
    <w:p>
      <w:pPr>
        <w:pStyle w:val="ListParagraph"/>
        <w:numPr>
          <w:ilvl w:val="0"/>
          <w:numId w:val="6"/>
        </w:numPr>
        <w:spacing w:after="100" w:line="300"/>
      </w:pPr>
      <w:r>
        <w:rPr>
          <w:rFonts w:ascii="Calibri" w:cs="Calibri" w:eastAsia="Calibri" w:hAnsi="Calibri"/>
          <w:color w:val="444444"/>
          <w:sz w:val="20"/>
          <w:szCs w:val="20"/>
        </w:rPr>
        <w:t xml:space="preserve">KB-19 commits: Action recorded in v3’s transaction log. If medication change: order committed. If guidance approval: KB-20 updated, Tier -1 sends guidance to patient.</w:t>
      </w:r>
    </w:p>
    <w:p>
      <w:pPr>
        <w:pStyle w:val="ListParagraph"/>
        <w:numPr>
          <w:ilvl w:val="0"/>
          <w:numId w:val="6"/>
        </w:numPr>
        <w:spacing w:after="100" w:line="300"/>
      </w:pPr>
      <w:r>
        <w:rPr>
          <w:rFonts w:ascii="Calibri" w:cs="Calibri" w:eastAsia="Calibri" w:hAnsi="Calibri"/>
          <w:color w:val="444444"/>
          <w:sz w:val="20"/>
          <w:szCs w:val="20"/>
        </w:rPr>
        <w:t xml:space="preserve">KB-18 finalizes audit: Identity binding (which physician), timestamp, full decision trail (what data was presented, what action was taken, what justification supports it). Immutable. Court-defensible.</w:t>
      </w:r>
    </w:p>
    <w:p>
      <w:pPr>
        <w:pStyle w:val="Heading2"/>
        <w:spacing w:before="280" w:after="160"/>
      </w:pPr>
      <w:r>
        <w:rPr>
          <w:rFonts w:ascii="Georgia" w:cs="Georgia" w:eastAsia="Georgia" w:hAnsi="Georgia"/>
          <w:b/>
          <w:bCs/>
          <w:color w:val="1A5276"/>
          <w:sz w:val="26"/>
          <w:szCs w:val="26"/>
        </w:rPr>
        <w:t xml:space="preserve">7.3 Safety Flow (Overrides Everything)</w:t>
      </w:r>
    </w:p>
    <w:p>
      <w:pPr>
        <w:spacing w:after="160" w:line="320"/>
      </w:pPr>
      <w:r>
        <w:rPr>
          <w:rFonts w:ascii="Calibri" w:cs="Calibri" w:eastAsia="Calibri" w:hAnsi="Calibri"/>
          <w:color w:val="333333"/>
          <w:sz w:val="22"/>
          <w:szCs w:val="22"/>
        </w:rPr>
        <w:t xml:space="preserve">This flow takes priority over all normal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DBD8" w:val="clear"/>
            <w:tcMar>
              <w:top w:type="dxa" w:w="160"/>
              <w:left w:type="dxa" w:w="240"/>
              <w:bottom w:type="dxa" w:w="160"/>
              <w:right w:type="dxa" w:w="240"/>
            </w:tcMar>
          </w:tcPr>
          <w:p>
            <w:pPr>
              <w:spacing w:after="0" w:line="320"/>
            </w:pPr>
            <w:r>
              <w:rPr>
                <w:rFonts w:ascii="Calibri" w:cs="Calibri" w:eastAsia="Calibri" w:hAnsi="Calibri"/>
                <w:color w:val="333333"/>
                <w:sz w:val="22"/>
                <w:szCs w:val="22"/>
              </w:rPr>
              <w:t xml:space="preserve">Example: Patient reports FBG 48 mg/dL via WhatsApp. Tier -1 extracts value. Safety Gate queries KB-4: FBG &lt;54 with sulfonylurea = Level 2 hypoglycemia. KB-4 returns HARD_STOP. Routed to ICU Intelligence (Tier 7). Non-overrideable. Tier -1 immediately sends safety message in Hindi: “अभी 3 चम्मच चीनी पानी में घोल के पीयें. 15 मिनट बाद दुबारा शुगर चेक करें.” KB-23 generates emergency Decision Card with RED banner, pushed to physician queue with 1-hour SLA. KB-18 logs the complete chain. Court-defensible.</w:t>
            </w:r>
          </w:p>
        </w:tc>
      </w:tr>
    </w:tbl>
    <w:p>
      <w:pPr>
        <w:pStyle w:val="Heading2"/>
        <w:spacing w:before="280" w:after="160"/>
      </w:pPr>
      <w:r>
        <w:rPr>
          <w:rFonts w:ascii="Georgia" w:cs="Georgia" w:eastAsia="Georgia" w:hAnsi="Georgia"/>
          <w:b/>
          <w:bCs/>
          <w:color w:val="1A5276"/>
          <w:sz w:val="26"/>
          <w:szCs w:val="26"/>
        </w:rPr>
        <w:t xml:space="preserve">7.4 The ASHA Mode (India Community Health Workflow)</w:t>
      </w:r>
    </w:p>
    <w:p>
      <w:pPr>
        <w:spacing w:after="160" w:line="320"/>
      </w:pPr>
      <w:r>
        <w:rPr>
          <w:rFonts w:ascii="Calibri" w:cs="Calibri" w:eastAsia="Calibri" w:hAnsi="Calibri"/>
          <w:color w:val="333333"/>
          <w:sz w:val="22"/>
          <w:szCs w:val="22"/>
        </w:rPr>
        <w:t xml:space="preserve">In the West, this connects to an API. In India, this powers a human interface:</w:t>
      </w:r>
    </w:p>
    <w:p>
      <w:pPr>
        <w:pStyle w:val="ListParagraph"/>
        <w:numPr>
          <w:ilvl w:val="0"/>
          <w:numId w:val="7"/>
        </w:numPr>
        <w:spacing w:after="100" w:line="300"/>
      </w:pPr>
      <w:r>
        <w:rPr>
          <w:rFonts w:ascii="Calibri" w:cs="Calibri" w:eastAsia="Calibri" w:hAnsi="Calibri"/>
          <w:color w:val="444444"/>
          <w:sz w:val="20"/>
          <w:szCs w:val="20"/>
        </w:rPr>
        <w:t xml:space="preserve">Patient sends photo of logbook via WhatsApp.</w:t>
      </w:r>
    </w:p>
    <w:p>
      <w:pPr>
        <w:pStyle w:val="ListParagraph"/>
        <w:numPr>
          <w:ilvl w:val="0"/>
          <w:numId w:val="7"/>
        </w:numPr>
        <w:spacing w:after="100" w:line="300"/>
      </w:pPr>
      <w:r>
        <w:rPr>
          <w:rFonts w:ascii="Calibri" w:cs="Calibri" w:eastAsia="Calibri" w:hAnsi="Calibri"/>
          <w:color w:val="444444"/>
          <w:sz w:val="20"/>
          <w:szCs w:val="20"/>
        </w:rPr>
        <w:t xml:space="preserve">Vaidshala OCR digitizes the numbers into FHIR Observations.</w:t>
      </w:r>
    </w:p>
    <w:p>
      <w:pPr>
        <w:pStyle w:val="ListParagraph"/>
        <w:numPr>
          <w:ilvl w:val="0"/>
          <w:numId w:val="7"/>
        </w:numPr>
        <w:spacing w:after="100" w:line="300"/>
      </w:pPr>
      <w:r>
        <w:rPr>
          <w:rFonts w:ascii="Calibri" w:cs="Calibri" w:eastAsia="Calibri" w:hAnsi="Calibri"/>
          <w:color w:val="444444"/>
          <w:sz w:val="20"/>
          <w:szCs w:val="20"/>
        </w:rPr>
        <w:t xml:space="preserve">V-MCU runs Policy → Safety Supervisor → Arbitrator logic.</w:t>
      </w:r>
    </w:p>
    <w:p>
      <w:pPr>
        <w:pStyle w:val="ListParagraph"/>
        <w:numPr>
          <w:ilvl w:val="0"/>
          <w:numId w:val="7"/>
        </w:numPr>
        <w:spacing w:after="100" w:line="300"/>
      </w:pPr>
      <w:r>
        <w:rPr>
          <w:rFonts w:ascii="Calibri" w:cs="Calibri" w:eastAsia="Calibri" w:hAnsi="Calibri"/>
          <w:color w:val="444444"/>
          <w:sz w:val="20"/>
          <w:szCs w:val="20"/>
        </w:rPr>
        <w:t xml:space="preserve">Output: Draft message to ASHA/Doctor dashboard: “Patient’s sugar is high (156 avg). Protocol suggests increasing Night Insulin to 22 units. Kidney function is OK. Approve?”</w:t>
      </w:r>
    </w:p>
    <w:p>
      <w:pPr>
        <w:pStyle w:val="ListParagraph"/>
        <w:numPr>
          <w:ilvl w:val="0"/>
          <w:numId w:val="7"/>
        </w:numPr>
        <w:spacing w:after="100" w:line="300"/>
      </w:pPr>
      <w:r>
        <w:rPr>
          <w:rFonts w:ascii="Calibri" w:cs="Calibri" w:eastAsia="Calibri" w:hAnsi="Calibri"/>
          <w:color w:val="444444"/>
          <w:sz w:val="20"/>
          <w:szCs w:val="20"/>
        </w:rPr>
        <w:t xml:space="preserve">Doctor clicks “Approve.”</w:t>
      </w:r>
    </w:p>
    <w:p>
      <w:pPr>
        <w:pStyle w:val="ListParagraph"/>
        <w:numPr>
          <w:ilvl w:val="0"/>
          <w:numId w:val="7"/>
        </w:numPr>
        <w:spacing w:after="100" w:line="300"/>
      </w:pPr>
      <w:r>
        <w:rPr>
          <w:rFonts w:ascii="Calibri" w:cs="Calibri" w:eastAsia="Calibri" w:hAnsi="Calibri"/>
          <w:color w:val="444444"/>
          <w:sz w:val="20"/>
          <w:szCs w:val="20"/>
        </w:rPr>
        <w:t xml:space="preserve">Patient receives WhatsApp in Hindi: “Dr. Sharma says: Increase night insulin to 22 units.”</w:t>
      </w:r>
    </w:p>
    <w:p>
      <w:r>
        <w:br w:type="page"/>
      </w:r>
    </w:p>
    <w:p>
      <w:pPr>
        <w:pStyle w:val="Heading1"/>
        <w:spacing w:before="360" w:after="200"/>
      </w:pPr>
      <w:r>
        <w:rPr>
          <w:rFonts w:ascii="Georgia" w:cs="Georgia" w:eastAsia="Georgia" w:hAnsi="Georgia"/>
          <w:b/>
          <w:bCs/>
          <w:color w:val="0C2340"/>
          <w:sz w:val="32"/>
          <w:szCs w:val="32"/>
        </w:rPr>
        <w:t xml:space="preserve">8. Safety Architecture</w:t>
      </w:r>
    </w:p>
    <w:p>
      <w:pPr>
        <w:pBdr>
          <w:left w:val="single" w:color="1A5276" w:sz="12" w:space="12"/>
        </w:pBdr>
        <w:spacing w:before="200" w:after="200" w:line="340"/>
        <w:ind w:left="480" w:right="480"/>
      </w:pPr>
      <w:r>
        <w:rPr>
          <w:rFonts w:ascii="Georgia" w:cs="Georgia" w:eastAsia="Georgia" w:hAnsi="Georgia"/>
          <w:i/>
          <w:iCs/>
          <w:color w:val="1A5276"/>
          <w:sz w:val="24"/>
          <w:szCs w:val="24"/>
        </w:rPr>
        <w:t xml:space="preserve">Safety is an architectural property, not a feature. It emerges from redundant, independent systems checking each other. The system is safe even when individual components fail.</w:t>
      </w:r>
    </w:p>
    <w:p>
      <w:pPr>
        <w:pStyle w:val="Heading2"/>
        <w:spacing w:before="280" w:after="160"/>
      </w:pPr>
      <w:r>
        <w:rPr>
          <w:rFonts w:ascii="Georgia" w:cs="Georgia" w:eastAsia="Georgia" w:hAnsi="Georgia"/>
          <w:b/>
          <w:bCs/>
          <w:color w:val="1A5276"/>
          <w:sz w:val="26"/>
          <w:szCs w:val="26"/>
        </w:rPr>
        <w:t xml:space="preserve">8.1 Three Independent Safety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D5D8DC" w:sz="1"/>
              <w:left w:val="single" w:color="D5D8DC" w:sz="1"/>
              <w:bottom w:val="single" w:color="D5D8DC" w:sz="1"/>
              <w:right w:val="single" w:color="D5D8DC" w:sz="1"/>
            </w:tcBorders>
            <w:shd w:fill="C0392B" w:val="clear"/>
            <w:tcMar>
              <w:top w:type="dxa" w:w="80"/>
              <w:left w:type="dxa" w:w="140"/>
              <w:bottom w:type="dxa" w:w="80"/>
              <w:right w:type="dxa" w:w="140"/>
            </w:tcMar>
          </w:tcPr>
          <w:p>
            <w:r>
              <w:rPr>
                <w:rFonts w:ascii="Calibri" w:cs="Calibri" w:eastAsia="Calibri" w:hAnsi="Calibri"/>
                <w:b/>
                <w:bCs/>
                <w:color w:val="FFFFFF"/>
                <w:sz w:val="18"/>
                <w:szCs w:val="18"/>
              </w:rPr>
              <w:t xml:space="preserve">Layer</w:t>
            </w:r>
          </w:p>
        </w:tc>
        <w:tc>
          <w:tcPr>
            <w:tcW w:type="dxa" w:w="3780"/>
            <w:tcBorders>
              <w:top w:val="single" w:color="D5D8DC" w:sz="1"/>
              <w:left w:val="single" w:color="D5D8DC" w:sz="1"/>
              <w:bottom w:val="single" w:color="D5D8DC" w:sz="1"/>
              <w:right w:val="single" w:color="D5D8DC" w:sz="1"/>
            </w:tcBorders>
            <w:shd w:fill="C0392B" w:val="clear"/>
            <w:tcMar>
              <w:top w:type="dxa" w:w="80"/>
              <w:left w:type="dxa" w:w="140"/>
              <w:bottom w:type="dxa" w:w="80"/>
              <w:right w:type="dxa" w:w="140"/>
            </w:tcMar>
          </w:tcPr>
          <w:p>
            <w:r>
              <w:rPr>
                <w:rFonts w:ascii="Calibri" w:cs="Calibri" w:eastAsia="Calibri" w:hAnsi="Calibri"/>
                <w:b/>
                <w:bCs/>
                <w:color w:val="FFFFFF"/>
                <w:sz w:val="18"/>
                <w:szCs w:val="18"/>
              </w:rPr>
              <w:t xml:space="preserve">Mechanism</w:t>
            </w:r>
          </w:p>
        </w:tc>
        <w:tc>
          <w:tcPr>
            <w:tcW w:type="dxa" w:w="3780"/>
            <w:tcBorders>
              <w:top w:val="single" w:color="D5D8DC" w:sz="1"/>
              <w:left w:val="single" w:color="D5D8DC" w:sz="1"/>
              <w:bottom w:val="single" w:color="D5D8DC" w:sz="1"/>
              <w:right w:val="single" w:color="D5D8DC" w:sz="1"/>
            </w:tcBorders>
            <w:shd w:fill="C0392B" w:val="clear"/>
            <w:tcMar>
              <w:top w:type="dxa" w:w="80"/>
              <w:left w:type="dxa" w:w="140"/>
              <w:bottom w:type="dxa" w:w="80"/>
              <w:right w:type="dxa" w:w="140"/>
            </w:tcMar>
          </w:tcPr>
          <w:p>
            <w:r>
              <w:rPr>
                <w:rFonts w:ascii="Calibri" w:cs="Calibri" w:eastAsia="Calibri" w:hAnsi="Calibri"/>
                <w:b/>
                <w:bCs/>
                <w:color w:val="FFFFFF"/>
                <w:sz w:val="18"/>
                <w:szCs w:val="18"/>
              </w:rPr>
              <w:t xml:space="preserve">Failure Mode Protection</w:t>
            </w:r>
          </w:p>
        </w:tc>
      </w:tr>
      <w:tr>
        <w:tc>
          <w:tcPr>
            <w:tcW w:type="dxa" w:w="180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Layer 1: Deterministic Logic (M2)</w:t>
            </w:r>
          </w:p>
        </w:tc>
        <w:tc>
          <w:tcPr>
            <w:tcW w:type="dxa" w:w="378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Hard-coded rules preventing known dangerous combinations. Metformin contraindicated below eGFR 30. SU dose review mandatory below FBG 110. Cannot be overridden by any other module.</w:t>
            </w:r>
          </w:p>
        </w:tc>
        <w:tc>
          <w:tcPr>
            <w:tcW w:type="dxa" w:w="378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Catches: known drug-condition conflicts, guideline violations</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Layer 2: Parallel Safety Engine</w:t>
            </w:r>
          </w:p>
        </w:tc>
        <w:tc>
          <w:tcPr>
            <w:tcW w:type="dxa" w:w="37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Runs ALONGSIDE M2, not downstream. Takes the SAME intake data and independently checks for safety flags. eGFR &lt;30, active hypo, insulin &gt;40U/day, pregnancy, HbA1c &gt;9.0, severe HTN (&gt;180/120).</w:t>
            </w:r>
          </w:p>
        </w:tc>
        <w:tc>
          <w:tcPr>
            <w:tcW w:type="dxa" w:w="37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Catches: M2 logic errors. If M2 has a bug that misses a hypo risk, this layer catches it independently.</w:t>
            </w:r>
          </w:p>
        </w:tc>
      </w:tr>
      <w:tr>
        <w:tc>
          <w:tcPr>
            <w:tcW w:type="dxa" w:w="180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Layer 3: Human Authority (M5)</w:t>
            </w:r>
          </w:p>
        </w:tc>
        <w:tc>
          <w:tcPr>
            <w:tcW w:type="dxa" w:w="378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No medication decision without human authorization. Even if M2 AND Safety both approve, pharmacist (Green) or physician (Yellow/Red) must explicitly sign. Risk-stratified routing with SLAs.</w:t>
            </w:r>
          </w:p>
        </w:tc>
        <w:tc>
          <w:tcPr>
            <w:tcW w:type="dxa" w:w="378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Catches: everything the deterministic layers miss. The final human check.</w:t>
            </w:r>
          </w:p>
        </w:tc>
      </w:tr>
    </w:tbl>
    <w:p>
      <w:pPr>
        <w:pStyle w:val="Heading2"/>
        <w:spacing w:before="280" w:after="160"/>
      </w:pPr>
      <w:r>
        <w:rPr>
          <w:rFonts w:ascii="Georgia" w:cs="Georgia" w:eastAsia="Georgia" w:hAnsi="Georgia"/>
          <w:b/>
          <w:bCs/>
          <w:color w:val="1A5276"/>
          <w:sz w:val="26"/>
          <w:szCs w:val="26"/>
        </w:rPr>
        <w:t xml:space="preserve">8.2 The Anti-Over-Trust Engine (M8)</w:t>
      </w:r>
    </w:p>
    <w:p>
      <w:pPr>
        <w:spacing w:after="160" w:line="320"/>
      </w:pPr>
      <w:r>
        <w:rPr>
          <w:rFonts w:ascii="Calibri" w:cs="Calibri" w:eastAsia="Calibri" w:hAnsi="Calibri"/>
          <w:color w:val="333333"/>
          <w:sz w:val="22"/>
          <w:szCs w:val="22"/>
        </w:rPr>
        <w:t xml:space="preserve">The most overlooked module in digital health and the most important for sustained safety. M8 monitors the reviewers, not just the patients:</w:t>
      </w:r>
    </w:p>
    <w:p>
      <w:pPr>
        <w:pStyle w:val="ListParagraph"/>
        <w:numPr>
          <w:ilvl w:val="0"/>
          <w:numId w:val="8"/>
        </w:numPr>
        <w:spacing w:after="100" w:line="300"/>
      </w:pPr>
      <w:r>
        <w:rPr>
          <w:rFonts w:ascii="Calibri" w:cs="Calibri" w:eastAsia="Calibri" w:hAnsi="Calibri"/>
          <w:b/>
          <w:bCs/>
          <w:color w:val="0C2340"/>
          <w:sz w:val="20"/>
          <w:szCs w:val="20"/>
        </w:rPr>
        <w:t xml:space="preserve">Synthetic Test Case Injection: </w:t>
      </w:r>
      <w:r>
        <w:rPr>
          <w:rFonts w:ascii="Calibri" w:cs="Calibri" w:eastAsia="Calibri" w:hAnsi="Calibri"/>
          <w:color w:val="444444"/>
          <w:sz w:val="20"/>
          <w:szCs w:val="20"/>
        </w:rPr>
        <w:t xml:space="preserve">Periodically inject fake patient intakes with deliberate errors. Metformin for eGFR 25. Green routing for positive hypo screen. If the reviewer approves, the system catches it and flags the reviewer for retraining.</w:t>
      </w:r>
    </w:p>
    <w:p>
      <w:pPr>
        <w:pStyle w:val="ListParagraph"/>
        <w:numPr>
          <w:ilvl w:val="0"/>
          <w:numId w:val="8"/>
        </w:numPr>
        <w:spacing w:after="100" w:line="300"/>
      </w:pPr>
      <w:r>
        <w:rPr>
          <w:rFonts w:ascii="Calibri" w:cs="Calibri" w:eastAsia="Calibri" w:hAnsi="Calibri"/>
          <w:b/>
          <w:bCs/>
          <w:color w:val="0C2340"/>
          <w:sz w:val="20"/>
          <w:szCs w:val="20"/>
        </w:rPr>
        <w:t xml:space="preserve">Forced Deep Review: </w:t>
      </w:r>
      <w:r>
        <w:rPr>
          <w:rFonts w:ascii="Calibri" w:cs="Calibri" w:eastAsia="Calibri" w:hAnsi="Calibri"/>
          <w:color w:val="444444"/>
          <w:sz w:val="20"/>
          <w:szCs w:val="20"/>
        </w:rPr>
        <w:t xml:space="preserve">5–10% of cases require documented reasoning, not just an “approve” click. The reviewer must explain why they agree.</w:t>
      </w:r>
    </w:p>
    <w:p>
      <w:pPr>
        <w:pStyle w:val="ListParagraph"/>
        <w:numPr>
          <w:ilvl w:val="0"/>
          <w:numId w:val="8"/>
        </w:numPr>
        <w:spacing w:after="100" w:line="300"/>
      </w:pPr>
      <w:r>
        <w:rPr>
          <w:rFonts w:ascii="Calibri" w:cs="Calibri" w:eastAsia="Calibri" w:hAnsi="Calibri"/>
          <w:b/>
          <w:bCs/>
          <w:color w:val="0C2340"/>
          <w:sz w:val="20"/>
          <w:szCs w:val="20"/>
        </w:rPr>
        <w:t xml:space="preserve">Agreement Rate Monitoring: </w:t>
      </w:r>
      <w:r>
        <w:rPr>
          <w:rFonts w:ascii="Calibri" w:cs="Calibri" w:eastAsia="Calibri" w:hAnsi="Calibri"/>
          <w:color w:val="444444"/>
          <w:sz w:val="20"/>
          <w:szCs w:val="20"/>
        </w:rPr>
        <w:t xml:space="preserve">If pharmacist approval rate hits 100% for more than 2 weeks, that is over-trust, not perfection. Healthy system: 3–8% modification rate. Sustained 100% → supervisory review.</w:t>
      </w:r>
    </w:p>
    <w:p>
      <w:pPr>
        <w:pStyle w:val="Heading2"/>
        <w:spacing w:before="280" w:after="160"/>
      </w:pPr>
      <w:r>
        <w:rPr>
          <w:rFonts w:ascii="Georgia" w:cs="Georgia" w:eastAsia="Georgia" w:hAnsi="Georgia"/>
          <w:b/>
          <w:bCs/>
          <w:color w:val="1A5276"/>
          <w:sz w:val="26"/>
          <w:szCs w:val="26"/>
        </w:rPr>
        <w:t xml:space="preserve">8.3 Graceful Degradation Cascade</w:t>
      </w:r>
    </w:p>
    <w:p>
      <w:pPr>
        <w:spacing w:after="160" w:line="320"/>
      </w:pPr>
      <w:r>
        <w:rPr>
          <w:rFonts w:ascii="Calibri" w:cs="Calibri" w:eastAsia="Calibri" w:hAnsi="Calibri"/>
          <w:color w:val="333333"/>
          <w:sz w:val="22"/>
          <w:szCs w:val="22"/>
        </w:rPr>
        <w:t xml:space="preserve">Four levels. Safety degrades last. UX degrades first. At no level does the system produce an unsafe clinical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C0392B" w:val="clear"/>
            <w:tcMar>
              <w:top w:type="dxa" w:w="80"/>
              <w:left w:type="dxa" w:w="140"/>
              <w:bottom w:type="dxa" w:w="80"/>
              <w:right w:type="dxa" w:w="140"/>
            </w:tcMar>
          </w:tcPr>
          <w:p>
            <w:r>
              <w:rPr>
                <w:rFonts w:ascii="Calibri" w:cs="Calibri" w:eastAsia="Calibri" w:hAnsi="Calibri"/>
                <w:b/>
                <w:bCs/>
                <w:color w:val="333333"/>
                <w:sz w:val="20"/>
                <w:szCs w:val="20"/>
              </w:rPr>
              <w:t xml:space="preserve">Component</w:t>
            </w:r>
          </w:p>
        </w:tc>
        <w:tc>
          <w:tcPr>
            <w:tcW w:type="dxa" w:w="6560"/>
            <w:tcBorders>
              <w:top w:val="single" w:color="D5D8DC" w:sz="1"/>
              <w:left w:val="single" w:color="D5D8DC" w:sz="1"/>
              <w:bottom w:val="single" w:color="D5D8DC" w:sz="1"/>
              <w:right w:val="single" w:color="D5D8DC" w:sz="1"/>
            </w:tcBorders>
            <w:shd w:fill="C0392B" w:val="clear"/>
            <w:tcMar>
              <w:top w:type="dxa" w:w="80"/>
              <w:left w:type="dxa" w:w="140"/>
              <w:bottom w:type="dxa" w:w="80"/>
              <w:right w:type="dxa" w:w="140"/>
            </w:tcMar>
          </w:tcPr>
          <w:p>
            <w:r>
              <w:rPr>
                <w:rFonts w:ascii="Calibri" w:cs="Calibri" w:eastAsia="Calibri" w:hAnsi="Calibri"/>
                <w:b/>
                <w:bCs/>
                <w:color w:val="333333"/>
                <w:sz w:val="20"/>
                <w:szCs w:val="20"/>
              </w:rPr>
              <w:t xml:space="preserve">Detail</w:t>
            </w:r>
          </w:p>
        </w:tc>
      </w:tr>
      <w:tr>
        <w:tc>
          <w:tcPr>
            <w:tcW w:type="dxa" w:w="280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b/>
                <w:bCs/>
                <w:color w:val="0C2340"/>
                <w:sz w:val="20"/>
                <w:szCs w:val="20"/>
              </w:rPr>
              <w:t xml:space="preserve">Level 1: UX degrades</w:t>
            </w:r>
          </w:p>
        </w:tc>
        <w:tc>
          <w:tcPr>
            <w:tcW w:type="dxa" w:w="656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color w:val="444444"/>
                <w:sz w:val="20"/>
                <w:szCs w:val="20"/>
              </w:rPr>
              <w:t xml:space="preserve">LLM unavailable → fall back to pre-written Hindi templates. Patient experience is less conversational. Clinical safety unaffected.</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300"/>
            </w:pPr>
            <w:r>
              <w:rPr>
                <w:rFonts w:ascii="Calibri" w:cs="Calibri" w:eastAsia="Calibri" w:hAnsi="Calibri"/>
                <w:b/>
                <w:bCs/>
                <w:color w:val="0C2340"/>
                <w:sz w:val="20"/>
                <w:szCs w:val="20"/>
              </w:rPr>
              <w:t xml:space="preserve">Level 2: Functionality degrades</w:t>
            </w:r>
          </w:p>
        </w:tc>
        <w:tc>
          <w:tcPr>
            <w:tcW w:type="dxa" w:w="6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300"/>
            </w:pPr>
            <w:r>
              <w:rPr>
                <w:rFonts w:ascii="Calibri" w:cs="Calibri" w:eastAsia="Calibri" w:hAnsi="Calibri"/>
                <w:color w:val="444444"/>
                <w:sz w:val="20"/>
                <w:szCs w:val="20"/>
              </w:rPr>
              <w:t xml:space="preserve">KB-20 unavailable → no trajectory computation. System switches to snapshot-only mode. Still safe, just less intelligent.</w:t>
            </w:r>
          </w:p>
        </w:tc>
      </w:tr>
      <w:tr>
        <w:tc>
          <w:tcPr>
            <w:tcW w:type="dxa" w:w="280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b/>
                <w:bCs/>
                <w:color w:val="0C2340"/>
                <w:sz w:val="20"/>
                <w:szCs w:val="20"/>
              </w:rPr>
              <w:t xml:space="preserve">Level 3: Availability degrades</w:t>
            </w:r>
          </w:p>
        </w:tc>
        <w:tc>
          <w:tcPr>
            <w:tcW w:type="dxa" w:w="656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color w:val="444444"/>
                <w:sz w:val="20"/>
                <w:szCs w:val="20"/>
              </w:rPr>
              <w:t xml:space="preserve">Core services down → system queues messages and processes when restored. Patient receives “we’ll get back to you” message.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300"/>
            </w:pPr>
            <w:r>
              <w:rPr>
                <w:rFonts w:ascii="Calibri" w:cs="Calibri" w:eastAsia="Calibri" w:hAnsi="Calibri"/>
                <w:b/>
                <w:bCs/>
                <w:color w:val="0C2340"/>
                <w:sz w:val="20"/>
                <w:szCs w:val="20"/>
              </w:rPr>
              <w:t xml:space="preserve">Level 4: Safety maintained</w:t>
            </w:r>
          </w:p>
        </w:tc>
        <w:tc>
          <w:tcPr>
            <w:tcW w:type="dxa" w:w="6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300"/>
            </w:pPr>
            <w:r>
              <w:rPr>
                <w:rFonts w:ascii="Calibri" w:cs="Calibri" w:eastAsia="Calibri" w:hAnsi="Calibri"/>
                <w:color w:val="444444"/>
                <w:sz w:val="20"/>
                <w:szCs w:val="20"/>
              </w:rPr>
              <w:t xml:space="preserve">Even in complete infrastructure failure, no unsafe clinical output is ever generated. The system refuses to produce recommendations rather than produce wrong ones.</w:t>
            </w:r>
          </w:p>
        </w:tc>
      </w:tr>
    </w:tbl>
    <w:p>
      <w:pPr>
        <w:pStyle w:val="Heading2"/>
        <w:spacing w:before="280" w:after="160"/>
      </w:pPr>
      <w:r>
        <w:rPr>
          <w:rFonts w:ascii="Georgia" w:cs="Georgia" w:eastAsia="Georgia" w:hAnsi="Georgia"/>
          <w:b/>
          <w:bCs/>
          <w:color w:val="1A5276"/>
          <w:sz w:val="26"/>
          <w:szCs w:val="26"/>
        </w:rPr>
        <w:t xml:space="preserve">8.4 Court-Defensible Audit Trail (KB-18)</w:t>
      </w:r>
    </w:p>
    <w:p>
      <w:pPr>
        <w:spacing w:after="160" w:line="320"/>
      </w:pPr>
      <w:r>
        <w:rPr>
          <w:rFonts w:ascii="Calibri" w:cs="Calibri" w:eastAsia="Calibri" w:hAnsi="Calibri"/>
          <w:color w:val="333333"/>
          <w:sz w:val="22"/>
          <w:szCs w:val="22"/>
        </w:rPr>
        <w:t xml:space="preserve">Every clinical decision is append-only, timestamped, with pathway version tags. Required chain for any medication recommendation: intake data (Slot Table state) → M2 decision logic (pathway version tag with guideline citation) → Safety Engine clearance → human authorization (pharmacist or physician identity) → KB-18 immutable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F3CF" w:val="clear"/>
            <w:tcMar>
              <w:top w:type="dxa" w:w="160"/>
              <w:left w:type="dxa" w:w="240"/>
              <w:bottom w:type="dxa" w:w="160"/>
              <w:right w:type="dxa" w:w="240"/>
            </w:tcMar>
          </w:tcPr>
          <w:p>
            <w:pPr>
              <w:spacing w:after="0" w:line="320"/>
            </w:pPr>
            <w:r>
              <w:rPr>
                <w:rFonts w:ascii="Calibri" w:cs="Calibri" w:eastAsia="Calibri" w:hAnsi="Calibri"/>
                <w:color w:val="333333"/>
                <w:sz w:val="22"/>
                <w:szCs w:val="22"/>
              </w:rPr>
              <w:t xml:space="preserve">If a patient has a hypoglycemic event, Vaidshala can produce: “At 10:00 AM on February 18, Safety Engine checked KB-4 and found no contraindications based on available data. Physician Dr. Sharma approved the dose at 10:14 AM. Evidence Envelope reference: EE-2026-02-18-0847.” This is not just good engineering. This is medico-legal defense.</w:t>
            </w:r>
          </w:p>
        </w:tc>
      </w:tr>
    </w:tbl>
    <w:p>
      <w:r>
        <w:br w:type="page"/>
      </w:r>
    </w:p>
    <w:p>
      <w:pPr>
        <w:pStyle w:val="Heading1"/>
        <w:spacing w:before="360" w:after="200"/>
      </w:pPr>
      <w:r>
        <w:rPr>
          <w:rFonts w:ascii="Georgia" w:cs="Georgia" w:eastAsia="Georgia" w:hAnsi="Georgia"/>
          <w:b/>
          <w:bCs/>
          <w:color w:val="0C2340"/>
          <w:sz w:val="32"/>
          <w:szCs w:val="32"/>
        </w:rPr>
        <w:t xml:space="preserve">9. Why This Wins</w:t>
      </w:r>
    </w:p>
    <w:p>
      <w:pPr>
        <w:spacing w:after="160" w:line="320"/>
      </w:pPr>
      <w:r>
        <w:rPr>
          <w:rFonts w:ascii="Calibri" w:cs="Calibri" w:eastAsia="Calibri" w:hAnsi="Calibri"/>
          <w:color w:val="333333"/>
          <w:sz w:val="22"/>
          <w:szCs w:val="22"/>
        </w:rPr>
        <w:t xml:space="preserve">The moat is not insulin math. The moat is contextualized safety arbitration integrated with longitudinal patient state, behavioral intelligence, and structured clinical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D5D8DC" w:sz="1"/>
              <w:left w:val="single" w:color="D5D8DC" w:sz="1"/>
              <w:bottom w:val="single" w:color="D5D8DC" w:sz="1"/>
              <w:right w:val="single" w:color="D5D8DC" w:sz="1"/>
            </w:tcBorders>
            <w:shd w:fill="0C2340" w:val="clear"/>
            <w:tcMar>
              <w:top w:type="dxa" w:w="80"/>
              <w:left w:type="dxa" w:w="140"/>
              <w:bottom w:type="dxa" w:w="80"/>
              <w:right w:type="dxa" w:w="140"/>
            </w:tcMar>
          </w:tcPr>
          <w:p>
            <w:r>
              <w:rPr>
                <w:rFonts w:ascii="Calibri" w:cs="Calibri" w:eastAsia="Calibri" w:hAnsi="Calibri"/>
                <w:b/>
                <w:bCs/>
                <w:color w:val="FFFFFF"/>
                <w:sz w:val="18"/>
                <w:szCs w:val="18"/>
              </w:rPr>
              <w:t xml:space="preserve">Competitor</w:t>
            </w:r>
          </w:p>
        </w:tc>
        <w:tc>
          <w:tcPr>
            <w:tcW w:type="dxa" w:w="2520"/>
            <w:tcBorders>
              <w:top w:val="single" w:color="D5D8DC" w:sz="1"/>
              <w:left w:val="single" w:color="D5D8DC" w:sz="1"/>
              <w:bottom w:val="single" w:color="D5D8DC" w:sz="1"/>
              <w:right w:val="single" w:color="D5D8DC" w:sz="1"/>
            </w:tcBorders>
            <w:shd w:fill="0C2340" w:val="clear"/>
            <w:tcMar>
              <w:top w:type="dxa" w:w="80"/>
              <w:left w:type="dxa" w:w="140"/>
              <w:bottom w:type="dxa" w:w="80"/>
              <w:right w:type="dxa" w:w="140"/>
            </w:tcMar>
          </w:tcPr>
          <w:p>
            <w:r>
              <w:rPr>
                <w:rFonts w:ascii="Calibri" w:cs="Calibri" w:eastAsia="Calibri" w:hAnsi="Calibri"/>
                <w:b/>
                <w:bCs/>
                <w:color w:val="FFFFFF"/>
                <w:sz w:val="18"/>
                <w:szCs w:val="18"/>
              </w:rPr>
              <w:t xml:space="preserve">What They Are</w:t>
            </w:r>
          </w:p>
        </w:tc>
        <w:tc>
          <w:tcPr>
            <w:tcW w:type="dxa" w:w="2520"/>
            <w:tcBorders>
              <w:top w:val="single" w:color="D5D8DC" w:sz="1"/>
              <w:left w:val="single" w:color="D5D8DC" w:sz="1"/>
              <w:bottom w:val="single" w:color="D5D8DC" w:sz="1"/>
              <w:right w:val="single" w:color="D5D8DC" w:sz="1"/>
            </w:tcBorders>
            <w:shd w:fill="0C2340" w:val="clear"/>
            <w:tcMar>
              <w:top w:type="dxa" w:w="80"/>
              <w:left w:type="dxa" w:w="140"/>
              <w:bottom w:type="dxa" w:w="80"/>
              <w:right w:type="dxa" w:w="140"/>
            </w:tcMar>
          </w:tcPr>
          <w:p>
            <w:r>
              <w:rPr>
                <w:rFonts w:ascii="Calibri" w:cs="Calibri" w:eastAsia="Calibri" w:hAnsi="Calibri"/>
                <w:b/>
                <w:bCs/>
                <w:color w:val="FFFFFF"/>
                <w:sz w:val="18"/>
                <w:szCs w:val="18"/>
              </w:rPr>
              <w:t xml:space="preserve">What They Lack</w:t>
            </w:r>
          </w:p>
        </w:tc>
        <w:tc>
          <w:tcPr>
            <w:tcW w:type="dxa" w:w="2520"/>
            <w:tcBorders>
              <w:top w:val="single" w:color="D5D8DC" w:sz="1"/>
              <w:left w:val="single" w:color="D5D8DC" w:sz="1"/>
              <w:bottom w:val="single" w:color="D5D8DC" w:sz="1"/>
              <w:right w:val="single" w:color="D5D8DC" w:sz="1"/>
            </w:tcBorders>
            <w:shd w:fill="0C2340" w:val="clear"/>
            <w:tcMar>
              <w:top w:type="dxa" w:w="80"/>
              <w:left w:type="dxa" w:w="140"/>
              <w:bottom w:type="dxa" w:w="80"/>
              <w:right w:type="dxa" w:w="140"/>
            </w:tcMar>
          </w:tcPr>
          <w:p>
            <w:r>
              <w:rPr>
                <w:rFonts w:ascii="Calibri" w:cs="Calibri" w:eastAsia="Calibri" w:hAnsi="Calibri"/>
                <w:b/>
                <w:bCs/>
                <w:color w:val="FFFFFF"/>
                <w:sz w:val="18"/>
                <w:szCs w:val="18"/>
              </w:rPr>
              <w:t xml:space="preserve">Vaidshala Advantage</w:t>
            </w:r>
          </w:p>
        </w:tc>
      </w:tr>
      <w:tr>
        <w:tc>
          <w:tcPr>
            <w:tcW w:type="dxa" w:w="180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UpToDate Expert AI</w:t>
            </w:r>
          </w:p>
        </w:tc>
        <w:tc>
          <w:tcPr>
            <w:tcW w:type="dxa" w:w="252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Closed, evidence-grounded reasoning engine. Thinking assistant.</w:t>
            </w:r>
          </w:p>
        </w:tc>
        <w:tc>
          <w:tcPr>
            <w:tcW w:type="dxa" w:w="252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No real-time telemetry. No dose titration. No active remote management. No emerging market context.</w:t>
            </w:r>
          </w:p>
        </w:tc>
        <w:tc>
          <w:tcPr>
            <w:tcW w:type="dxa" w:w="252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Operational platform, not thinking assistant. Continuous correction, not episodic lookup.</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Medi-Span MCP</w:t>
            </w:r>
          </w:p>
        </w:tc>
        <w:tc>
          <w:tcPr>
            <w:tcW w:type="dxa" w:w="25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Drug knowledge as a callable tool. Deterministic DDI, dosing, allergy checks via MCP.</w:t>
            </w:r>
          </w:p>
        </w:tc>
        <w:tc>
          <w:tcPr>
            <w:tcW w:type="dxa" w:w="25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No patient state. No longitudinal tracking. No behavioral adaptation. No correction loop.</w:t>
            </w:r>
          </w:p>
        </w:tc>
        <w:tc>
          <w:tcPr>
            <w:tcW w:type="dxa" w:w="25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KB-1 + KB-5 mirror their core. Add patient context, trajectory, and behavioral intelligence.</w:t>
            </w:r>
          </w:p>
        </w:tc>
      </w:tr>
      <w:tr>
        <w:tc>
          <w:tcPr>
            <w:tcW w:type="dxa" w:w="180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Lotus Health</w:t>
            </w:r>
          </w:p>
        </w:tc>
        <w:tc>
          <w:tcPr>
            <w:tcW w:type="dxa" w:w="252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Clinical workflow compression for general primary care. Agentic intake.</w:t>
            </w:r>
          </w:p>
        </w:tc>
        <w:tc>
          <w:tcPr>
            <w:tcW w:type="dxa" w:w="252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Diagnostic (cold-start each visit). Broad safety layer. Measures throughput, not outcomes.</w:t>
            </w:r>
          </w:p>
        </w:tc>
        <w:tc>
          <w:tcPr>
            <w:tcW w:type="dxa" w:w="252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Longitudinal correction (narrows over time). Narrow, airtight safety. Measures clinical outcomes.</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Generic Titration Apps</w:t>
            </w:r>
          </w:p>
        </w:tc>
        <w:tc>
          <w:tcPr>
            <w:tcW w:type="dxa" w:w="25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Basal titration suggestions based on glucose readings.</w:t>
            </w:r>
          </w:p>
        </w:tc>
        <w:tc>
          <w:tcPr>
            <w:tcW w:type="dxa" w:w="25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Most fail because they don’t know when to STOP. Ignore renal logic. Snapshot-based.</w:t>
            </w:r>
          </w:p>
        </w:tc>
        <w:tc>
          <w:tcPr>
            <w:tcW w:type="dxa" w:w="25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Gas Pedal + Brake Pedal. Renal logic is core. Longitudinal. Contextualized arbitration.</w:t>
            </w:r>
          </w:p>
        </w:tc>
      </w:tr>
      <w:tr>
        <w:tc>
          <w:tcPr>
            <w:tcW w:type="dxa" w:w="180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Epic CDS</w:t>
            </w:r>
          </w:p>
        </w:tc>
        <w:tc>
          <w:tcPr>
            <w:tcW w:type="dxa" w:w="252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Full EHR-integrated clinical decision support.</w:t>
            </w:r>
          </w:p>
        </w:tc>
        <w:tc>
          <w:tcPr>
            <w:tcW w:type="dxa" w:w="252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Requires heavy EHR integration. Not designed for community/remote care. Not WhatsApp-native.</w:t>
            </w:r>
          </w:p>
        </w:tc>
        <w:tc>
          <w:tcPr>
            <w:tcW w:type="dxa" w:w="252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Works without EHR. WhatsApp-first. Optimized for Indian community health workflows.</w:t>
            </w:r>
          </w:p>
        </w:tc>
      </w:tr>
    </w:tbl>
    <w:p>
      <w:pPr>
        <w:spacing w:after="120"/>
      </w:pPr>
    </w:p>
    <w:p>
      <w:pPr>
        <w:pBdr>
          <w:left w:val="single" w:color="1A5276" w:sz="12" w:space="12"/>
        </w:pBdr>
        <w:spacing w:before="200" w:after="200" w:line="340"/>
        <w:ind w:left="480" w:right="480"/>
      </w:pPr>
      <w:r>
        <w:rPr>
          <w:rFonts w:ascii="Georgia" w:cs="Georgia" w:eastAsia="Georgia" w:hAnsi="Georgia"/>
          <w:i/>
          <w:iCs/>
          <w:color w:val="1A5276"/>
          <w:sz w:val="24"/>
          <w:szCs w:val="24"/>
        </w:rPr>
        <w:t xml:space="preserve">You are no longer building guideline extraction. You are building real-time therapeutic optimization. That is a far higher tier category.</w:t>
      </w:r>
    </w:p>
    <w:p>
      <w:r>
        <w:br w:type="page"/>
      </w:r>
    </w:p>
    <w:p>
      <w:pPr>
        <w:pStyle w:val="Heading1"/>
        <w:spacing w:before="360" w:after="200"/>
      </w:pPr>
      <w:r>
        <w:rPr>
          <w:rFonts w:ascii="Georgia" w:cs="Georgia" w:eastAsia="Georgia" w:hAnsi="Georgia"/>
          <w:b/>
          <w:bCs/>
          <w:color w:val="0C2340"/>
          <w:sz w:val="32"/>
          <w:szCs w:val="32"/>
        </w:rPr>
        <w:t xml:space="preserve">10. Implementation Sequence: Three Parallel Tracks</w:t>
      </w:r>
    </w:p>
    <w:p>
      <w:pPr>
        <w:spacing w:after="160" w:line="320"/>
      </w:pPr>
      <w:r>
        <w:rPr>
          <w:rFonts w:ascii="Calibri" w:cs="Calibri" w:eastAsia="Calibri" w:hAnsi="Calibri"/>
          <w:color w:val="333333"/>
          <w:sz w:val="22"/>
          <w:szCs w:val="22"/>
        </w:rPr>
        <w:t xml:space="preserve">Three tracks running simultaneously. Engineering and clinical authoring converge at Week 8.</w:t>
      </w:r>
    </w:p>
    <w:p>
      <w:pPr>
        <w:pStyle w:val="Heading2"/>
        <w:spacing w:before="280" w:after="160"/>
      </w:pPr>
      <w:r>
        <w:rPr>
          <w:rFonts w:ascii="Georgia" w:cs="Georgia" w:eastAsia="Georgia" w:hAnsi="Georgia"/>
          <w:b/>
          <w:bCs/>
          <w:color w:val="1A5276"/>
          <w:sz w:val="26"/>
          <w:szCs w:val="26"/>
        </w:rPr>
        <w:t xml:space="preserve">10.1 Track A: Clinical Authoring (Starts Week 1)</w:t>
      </w:r>
    </w:p>
    <w:p>
      <w:pPr>
        <w:spacing w:after="160" w:line="320"/>
      </w:pPr>
      <w:r>
        <w:rPr>
          <w:rFonts w:ascii="Calibri" w:cs="Calibri" w:eastAsia="Calibri" w:hAnsi="Calibri"/>
          <w:color w:val="333333"/>
          <w:sz w:val="22"/>
          <w:szCs w:val="22"/>
        </w:rPr>
        <w:t xml:space="preserve">The longest lead-time, highest-risk component. Does not require a single line of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148F77" w:val="clear"/>
            <w:tcMar>
              <w:top w:type="dxa" w:w="80"/>
              <w:left w:type="dxa" w:w="140"/>
              <w:bottom w:type="dxa" w:w="80"/>
              <w:right w:type="dxa" w:w="140"/>
            </w:tcMar>
          </w:tcPr>
          <w:p>
            <w:r>
              <w:rPr>
                <w:rFonts w:ascii="Calibri" w:cs="Calibri" w:eastAsia="Calibri" w:hAnsi="Calibri"/>
                <w:b/>
                <w:bCs/>
                <w:color w:val="333333"/>
                <w:sz w:val="20"/>
                <w:szCs w:val="20"/>
              </w:rPr>
              <w:t xml:space="preserve">Component</w:t>
            </w:r>
          </w:p>
        </w:tc>
        <w:tc>
          <w:tcPr>
            <w:tcW w:type="dxa" w:w="6560"/>
            <w:tcBorders>
              <w:top w:val="single" w:color="D5D8DC" w:sz="1"/>
              <w:left w:val="single" w:color="D5D8DC" w:sz="1"/>
              <w:bottom w:val="single" w:color="D5D8DC" w:sz="1"/>
              <w:right w:val="single" w:color="D5D8DC" w:sz="1"/>
            </w:tcBorders>
            <w:shd w:fill="148F77" w:val="clear"/>
            <w:tcMar>
              <w:top w:type="dxa" w:w="80"/>
              <w:left w:type="dxa" w:w="140"/>
              <w:bottom w:type="dxa" w:w="80"/>
              <w:right w:type="dxa" w:w="140"/>
            </w:tcMar>
          </w:tcPr>
          <w:p>
            <w:r>
              <w:rPr>
                <w:rFonts w:ascii="Calibri" w:cs="Calibri" w:eastAsia="Calibri" w:hAnsi="Calibri"/>
                <w:b/>
                <w:bCs/>
                <w:color w:val="333333"/>
                <w:sz w:val="20"/>
                <w:szCs w:val="20"/>
              </w:rPr>
              <w:t xml:space="preserve">Detail</w:t>
            </w:r>
          </w:p>
        </w:tc>
      </w:tr>
      <w:tr>
        <w:tc>
          <w:tcPr>
            <w:tcW w:type="dxa" w:w="280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b/>
                <w:bCs/>
                <w:color w:val="0C2340"/>
                <w:sz w:val="20"/>
                <w:szCs w:val="20"/>
              </w:rPr>
              <w:t xml:space="preserve">Week 1–2</w:t>
            </w:r>
          </w:p>
        </w:tc>
        <w:tc>
          <w:tcPr>
            <w:tcW w:type="dxa" w:w="656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color w:val="444444"/>
                <w:sz w:val="20"/>
                <w:szCs w:val="20"/>
              </w:rPr>
              <w:t xml:space="preserve">Author first 3 reference Differential Trees: Dizziness (P01), Hypoglycemia Symptoms (P02), GI Disturbance (P07). These three stress-test medication-awareness, safety-critical pathways, and medication-attribution respectively.</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300"/>
            </w:pPr>
            <w:r>
              <w:rPr>
                <w:rFonts w:ascii="Calibri" w:cs="Calibri" w:eastAsia="Calibri" w:hAnsi="Calibri"/>
                <w:b/>
                <w:bCs/>
                <w:color w:val="0C2340"/>
                <w:sz w:val="20"/>
                <w:szCs w:val="20"/>
              </w:rPr>
              <w:t xml:space="preserve">Week 3–6</w:t>
            </w:r>
          </w:p>
        </w:tc>
        <w:tc>
          <w:tcPr>
            <w:tcW w:type="dxa" w:w="6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300"/>
            </w:pPr>
            <w:r>
              <w:rPr>
                <w:rFonts w:ascii="Calibri" w:cs="Calibri" w:eastAsia="Calibri" w:hAnsi="Calibri"/>
                <w:color w:val="444444"/>
                <w:sz w:val="20"/>
                <w:szCs w:val="20"/>
              </w:rPr>
              <w:t xml:space="preserve">Author remaining 7 nodes for first 10 (edema, visual changes, fatigue, chest discomfort, neuropathy, polyuria, headache). 10 nodes cover 80% of DM+HTN symptom presentations.</w:t>
            </w:r>
          </w:p>
        </w:tc>
      </w:tr>
      <w:tr>
        <w:tc>
          <w:tcPr>
            <w:tcW w:type="dxa" w:w="280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b/>
                <w:bCs/>
                <w:color w:val="0C2340"/>
                <w:sz w:val="20"/>
                <w:szCs w:val="20"/>
              </w:rPr>
              <w:t xml:space="preserve">Week 7–16</w:t>
            </w:r>
          </w:p>
        </w:tc>
        <w:tc>
          <w:tcPr>
            <w:tcW w:type="dxa" w:w="656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color w:val="444444"/>
                <w:sz w:val="20"/>
                <w:szCs w:val="20"/>
              </w:rPr>
              <w:t xml:space="preserve">Author remaining 25 nodes. Each reviewed by second clinician. Each passes M8 validation test cases.</w:t>
            </w:r>
          </w:p>
        </w:tc>
      </w:tr>
    </w:tbl>
    <w:p>
      <w:pPr>
        <w:pStyle w:val="Heading2"/>
        <w:spacing w:before="280" w:after="160"/>
      </w:pPr>
      <w:r>
        <w:rPr>
          <w:rFonts w:ascii="Georgia" w:cs="Georgia" w:eastAsia="Georgia" w:hAnsi="Georgia"/>
          <w:b/>
          <w:bCs/>
          <w:color w:val="1A5276"/>
          <w:sz w:val="26"/>
          <w:szCs w:val="26"/>
        </w:rPr>
        <w:t xml:space="preserve">10.2 Track B: Tier -1 + Infrastructure (Starts Week 1)</w:t>
      </w:r>
    </w:p>
    <w:p>
      <w:pPr>
        <w:spacing w:after="160" w:line="320"/>
      </w:pPr>
      <w:r>
        <w:rPr>
          <w:rFonts w:ascii="Calibri" w:cs="Calibri" w:eastAsia="Calibri" w:hAnsi="Calibri"/>
          <w:color w:val="333333"/>
          <w:sz w:val="22"/>
          <w:szCs w:val="22"/>
        </w:rPr>
        <w:t xml:space="preserve">The engineering critical path. Everything depends on patients talking to v3 through WhatsApp.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1A5276" w:val="clear"/>
            <w:tcMar>
              <w:top w:type="dxa" w:w="80"/>
              <w:left w:type="dxa" w:w="140"/>
              <w:bottom w:type="dxa" w:w="80"/>
              <w:right w:type="dxa" w:w="140"/>
            </w:tcMar>
          </w:tcPr>
          <w:p>
            <w:r>
              <w:rPr>
                <w:rFonts w:ascii="Calibri" w:cs="Calibri" w:eastAsia="Calibri" w:hAnsi="Calibri"/>
                <w:b/>
                <w:bCs/>
                <w:color w:val="333333"/>
                <w:sz w:val="20"/>
                <w:szCs w:val="20"/>
              </w:rPr>
              <w:t xml:space="preserve">Component</w:t>
            </w:r>
          </w:p>
        </w:tc>
        <w:tc>
          <w:tcPr>
            <w:tcW w:type="dxa" w:w="6560"/>
            <w:tcBorders>
              <w:top w:val="single" w:color="D5D8DC" w:sz="1"/>
              <w:left w:val="single" w:color="D5D8DC" w:sz="1"/>
              <w:bottom w:val="single" w:color="D5D8DC" w:sz="1"/>
              <w:right w:val="single" w:color="D5D8DC" w:sz="1"/>
            </w:tcBorders>
            <w:shd w:fill="1A5276" w:val="clear"/>
            <w:tcMar>
              <w:top w:type="dxa" w:w="80"/>
              <w:left w:type="dxa" w:w="140"/>
              <w:bottom w:type="dxa" w:w="80"/>
              <w:right w:type="dxa" w:w="140"/>
            </w:tcMar>
          </w:tcPr>
          <w:p>
            <w:r>
              <w:rPr>
                <w:rFonts w:ascii="Calibri" w:cs="Calibri" w:eastAsia="Calibri" w:hAnsi="Calibri"/>
                <w:b/>
                <w:bCs/>
                <w:color w:val="333333"/>
                <w:sz w:val="20"/>
                <w:szCs w:val="20"/>
              </w:rPr>
              <w:t xml:space="preserve">Detail</w:t>
            </w:r>
          </w:p>
        </w:tc>
      </w:tr>
      <w:tr>
        <w:tc>
          <w:tcPr>
            <w:tcW w:type="dxa" w:w="280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b/>
                <w:bCs/>
                <w:color w:val="0C2340"/>
                <w:sz w:val="20"/>
                <w:szCs w:val="20"/>
              </w:rPr>
              <w:t xml:space="preserve">Week 1–2</w:t>
            </w:r>
          </w:p>
        </w:tc>
        <w:tc>
          <w:tcPr>
            <w:tcW w:type="dxa" w:w="656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color w:val="444444"/>
                <w:sz w:val="20"/>
                <w:szCs w:val="20"/>
              </w:rPr>
              <w:t xml:space="preserve">WhatsApp webhook + outbound messaging + button interactions + session management. Intake flow (15-slot fixed sequence). Patients enrolled, producing FHIR Observations, safety-checked by KB-4.</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300"/>
            </w:pPr>
            <w:r>
              <w:rPr>
                <w:rFonts w:ascii="Calibri" w:cs="Calibri" w:eastAsia="Calibri" w:hAnsi="Calibri"/>
                <w:b/>
                <w:bCs/>
                <w:color w:val="0C2340"/>
                <w:sz w:val="20"/>
                <w:szCs w:val="20"/>
              </w:rPr>
              <w:t xml:space="preserve">Week 3–4</w:t>
            </w:r>
          </w:p>
        </w:tc>
        <w:tc>
          <w:tcPr>
            <w:tcW w:type="dxa" w:w="6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300"/>
            </w:pPr>
            <w:r>
              <w:rPr>
                <w:rFonts w:ascii="Calibri" w:cs="Calibri" w:eastAsia="Calibri" w:hAnsi="Calibri"/>
                <w:color w:val="444444"/>
                <w:sz w:val="20"/>
                <w:szCs w:val="20"/>
              </w:rPr>
              <w:t xml:space="preserve">ASR adapter (Sarvam Saaras v3 for voice). Check-in flow. Meal test flow. Build adaptive traversal engine alongside fixed-sequence engine (pluggable traversal strategy).</w:t>
            </w:r>
          </w:p>
        </w:tc>
      </w:tr>
      <w:tr>
        <w:tc>
          <w:tcPr>
            <w:tcW w:type="dxa" w:w="280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b/>
                <w:bCs/>
                <w:color w:val="0C2340"/>
                <w:sz w:val="20"/>
                <w:szCs w:val="20"/>
              </w:rPr>
              <w:t xml:space="preserve">Week 5–8</w:t>
            </w:r>
          </w:p>
        </w:tc>
        <w:tc>
          <w:tcPr>
            <w:tcW w:type="dxa" w:w="656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color w:val="444444"/>
                <w:sz w:val="20"/>
                <w:szCs w:val="20"/>
              </w:rPr>
              <w:t xml:space="preserve">KB-20 computing trajectories. KB-21 computing adherence and tone. KB-23 rendering Decision Cards. Physicians reviewing patients through cards.</w:t>
            </w:r>
          </w:p>
        </w:tc>
      </w:tr>
    </w:tbl>
    <w:p>
      <w:pPr>
        <w:pStyle w:val="Heading2"/>
        <w:spacing w:before="280" w:after="160"/>
      </w:pPr>
      <w:r>
        <w:rPr>
          <w:rFonts w:ascii="Georgia" w:cs="Georgia" w:eastAsia="Georgia" w:hAnsi="Georgia"/>
          <w:b/>
          <w:bCs/>
          <w:color w:val="1A5276"/>
          <w:sz w:val="26"/>
          <w:szCs w:val="26"/>
        </w:rPr>
        <w:t xml:space="preserve">10.3 Track C: KB-22 HPI Engine (Starts Week 3)</w:t>
      </w:r>
    </w:p>
    <w:p>
      <w:pPr>
        <w:spacing w:after="160" w:line="320"/>
      </w:pPr>
      <w:r>
        <w:rPr>
          <w:rFonts w:ascii="Calibri" w:cs="Calibri" w:eastAsia="Calibri" w:hAnsi="Calibri"/>
          <w:color w:val="333333"/>
          <w:sz w:val="22"/>
          <w:szCs w:val="22"/>
        </w:rPr>
        <w:t xml:space="preserve">Starts when Track A has first 3 YAML nodes and Track B has adaptive traversal scaffolded.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148F77" w:val="clear"/>
            <w:tcMar>
              <w:top w:type="dxa" w:w="80"/>
              <w:left w:type="dxa" w:w="140"/>
              <w:bottom w:type="dxa" w:w="80"/>
              <w:right w:type="dxa" w:w="140"/>
            </w:tcMar>
          </w:tcPr>
          <w:p>
            <w:r>
              <w:rPr>
                <w:rFonts w:ascii="Calibri" w:cs="Calibri" w:eastAsia="Calibri" w:hAnsi="Calibri"/>
                <w:b/>
                <w:bCs/>
                <w:color w:val="333333"/>
                <w:sz w:val="20"/>
                <w:szCs w:val="20"/>
              </w:rPr>
              <w:t xml:space="preserve">Component</w:t>
            </w:r>
          </w:p>
        </w:tc>
        <w:tc>
          <w:tcPr>
            <w:tcW w:type="dxa" w:w="6560"/>
            <w:tcBorders>
              <w:top w:val="single" w:color="D5D8DC" w:sz="1"/>
              <w:left w:val="single" w:color="D5D8DC" w:sz="1"/>
              <w:bottom w:val="single" w:color="D5D8DC" w:sz="1"/>
              <w:right w:val="single" w:color="D5D8DC" w:sz="1"/>
            </w:tcBorders>
            <w:shd w:fill="148F77" w:val="clear"/>
            <w:tcMar>
              <w:top w:type="dxa" w:w="80"/>
              <w:left w:type="dxa" w:w="140"/>
              <w:bottom w:type="dxa" w:w="80"/>
              <w:right w:type="dxa" w:w="140"/>
            </w:tcMar>
          </w:tcPr>
          <w:p>
            <w:r>
              <w:rPr>
                <w:rFonts w:ascii="Calibri" w:cs="Calibri" w:eastAsia="Calibri" w:hAnsi="Calibri"/>
                <w:b/>
                <w:bCs/>
                <w:color w:val="333333"/>
                <w:sz w:val="20"/>
                <w:szCs w:val="20"/>
              </w:rPr>
              <w:t xml:space="preserve">Detail</w:t>
            </w:r>
          </w:p>
        </w:tc>
      </w:tr>
      <w:tr>
        <w:tc>
          <w:tcPr>
            <w:tcW w:type="dxa" w:w="280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b/>
                <w:bCs/>
                <w:color w:val="0C2340"/>
                <w:sz w:val="20"/>
                <w:szCs w:val="20"/>
              </w:rPr>
              <w:t xml:space="preserve">Week 3–4</w:t>
            </w:r>
          </w:p>
        </w:tc>
        <w:tc>
          <w:tcPr>
            <w:tcW w:type="dxa" w:w="656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color w:val="444444"/>
                <w:sz w:val="20"/>
                <w:szCs w:val="20"/>
              </w:rPr>
              <w:t xml:space="preserve">Bayesian update engine + information gain calculator. Pure computation, testable in isolation with synthetic data.</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300"/>
            </w:pPr>
            <w:r>
              <w:rPr>
                <w:rFonts w:ascii="Calibri" w:cs="Calibri" w:eastAsia="Calibri" w:hAnsi="Calibri"/>
                <w:b/>
                <w:bCs/>
                <w:color w:val="0C2340"/>
                <w:sz w:val="20"/>
                <w:szCs w:val="20"/>
              </w:rPr>
              <w:t xml:space="preserve">Week 5–6</w:t>
            </w:r>
          </w:p>
        </w:tc>
        <w:tc>
          <w:tcPr>
            <w:tcW w:type="dxa" w:w="6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300"/>
            </w:pPr>
            <w:r>
              <w:rPr>
                <w:rFonts w:ascii="Calibri" w:cs="Calibri" w:eastAsia="Calibri" w:hAnsi="Calibri"/>
                <w:color w:val="444444"/>
                <w:sz w:val="20"/>
                <w:szCs w:val="20"/>
              </w:rPr>
              <w:t xml:space="preserve">Presentation Classifier (LLM extraction of chief complaint from Hindi → deterministic mapper to node). Context Assembler (loads KB-20 state → applies context modifiers). Wire to v3 KBs.</w:t>
            </w:r>
          </w:p>
        </w:tc>
      </w:tr>
      <w:tr>
        <w:tc>
          <w:tcPr>
            <w:tcW w:type="dxa" w:w="280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b/>
                <w:bCs/>
                <w:color w:val="0C2340"/>
                <w:sz w:val="20"/>
                <w:szCs w:val="20"/>
              </w:rPr>
              <w:t xml:space="preserve">Week 7–8</w:t>
            </w:r>
          </w:p>
        </w:tc>
        <w:tc>
          <w:tcPr>
            <w:tcW w:type="dxa" w:w="656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color w:val="444444"/>
                <w:sz w:val="20"/>
                <w:szCs w:val="20"/>
              </w:rPr>
              <w:t xml:space="preserve">Red Flag Gate (non-bypassable). Multi-complaint handler. Diagnostic Closure Guard. Wire output to KB-23.</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300"/>
            </w:pPr>
            <w:r>
              <w:rPr>
                <w:rFonts w:ascii="Calibri" w:cs="Calibri" w:eastAsia="Calibri" w:hAnsi="Calibri"/>
                <w:b/>
                <w:bCs/>
                <w:color w:val="0C2340"/>
                <w:sz w:val="20"/>
                <w:szCs w:val="20"/>
              </w:rPr>
              <w:t xml:space="preserve">Week 8–10</w:t>
            </w:r>
          </w:p>
        </w:tc>
        <w:tc>
          <w:tcPr>
            <w:tcW w:type="dxa" w:w="6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300"/>
            </w:pPr>
            <w:r>
              <w:rPr>
                <w:rFonts w:ascii="Calibri" w:cs="Calibri" w:eastAsia="Calibri" w:hAnsi="Calibri"/>
                <w:color w:val="444444"/>
                <w:sz w:val="20"/>
                <w:szCs w:val="20"/>
              </w:rPr>
              <w:t xml:space="preserve">Validation sprint: 50 synthetic HPIs across 10 nodes. Physician validates accuracy. Measure: red flag sensitivity (must be 100%), correct top diagnosis rate, questions to termination.</w:t>
            </w:r>
          </w:p>
        </w:tc>
      </w:tr>
      <w:tr>
        <w:tc>
          <w:tcPr>
            <w:tcW w:type="dxa" w:w="280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b/>
                <w:bCs/>
                <w:color w:val="0C2340"/>
                <w:sz w:val="20"/>
                <w:szCs w:val="20"/>
              </w:rPr>
              <w:t xml:space="preserve">Week 10–12</w:t>
            </w:r>
          </w:p>
        </w:tc>
        <w:tc>
          <w:tcPr>
            <w:tcW w:type="dxa" w:w="656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300"/>
            </w:pPr>
            <w:r>
              <w:rPr>
                <w:rFonts w:ascii="Calibri" w:cs="Calibri" w:eastAsia="Calibri" w:hAnsi="Calibri"/>
                <w:color w:val="444444"/>
                <w:sz w:val="20"/>
                <w:szCs w:val="20"/>
              </w:rPr>
              <w:t xml:space="preserve">Live pilot. Real patients, real symptoms, physician reviews every HPI_REPORT. Clinical validation, not engineering debugging.</w:t>
            </w:r>
          </w:p>
        </w:tc>
      </w:tr>
    </w:tbl>
    <w:p>
      <w:pPr>
        <w:pStyle w:val="Heading2"/>
        <w:spacing w:before="280" w:after="160"/>
      </w:pPr>
      <w:r>
        <w:rPr>
          <w:rFonts w:ascii="Georgia" w:cs="Georgia" w:eastAsia="Georgia" w:hAnsi="Georgia"/>
          <w:b/>
          <w:bCs/>
          <w:color w:val="1A5276"/>
          <w:sz w:val="26"/>
          <w:szCs w:val="26"/>
        </w:rPr>
        <w:t xml:space="preserve">10.4 Key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D5D8DC" w:sz="1"/>
              <w:left w:val="single" w:color="D5D8DC" w:sz="1"/>
              <w:bottom w:val="single" w:color="D5D8DC" w:sz="1"/>
              <w:right w:val="single" w:color="D5D8DC" w:sz="1"/>
            </w:tcBorders>
            <w:shd w:fill="0C2340" w:val="clear"/>
            <w:tcMar>
              <w:top w:type="dxa" w:w="80"/>
              <w:left w:type="dxa" w:w="140"/>
              <w:bottom w:type="dxa" w:w="80"/>
              <w:right w:type="dxa" w:w="140"/>
            </w:tcMar>
          </w:tcPr>
          <w:p>
            <w:r>
              <w:rPr>
                <w:rFonts w:ascii="Calibri" w:cs="Calibri" w:eastAsia="Calibri" w:hAnsi="Calibri"/>
                <w:b/>
                <w:bCs/>
                <w:color w:val="FFFFFF"/>
                <w:sz w:val="18"/>
                <w:szCs w:val="18"/>
              </w:rPr>
              <w:t xml:space="preserve">Week</w:t>
            </w:r>
          </w:p>
        </w:tc>
        <w:tc>
          <w:tcPr>
            <w:tcW w:type="dxa" w:w="2400"/>
            <w:tcBorders>
              <w:top w:val="single" w:color="D5D8DC" w:sz="1"/>
              <w:left w:val="single" w:color="D5D8DC" w:sz="1"/>
              <w:bottom w:val="single" w:color="D5D8DC" w:sz="1"/>
              <w:right w:val="single" w:color="D5D8DC" w:sz="1"/>
            </w:tcBorders>
            <w:shd w:fill="0C2340" w:val="clear"/>
            <w:tcMar>
              <w:top w:type="dxa" w:w="80"/>
              <w:left w:type="dxa" w:w="140"/>
              <w:bottom w:type="dxa" w:w="80"/>
              <w:right w:type="dxa" w:w="140"/>
            </w:tcMar>
          </w:tcPr>
          <w:p>
            <w:r>
              <w:rPr>
                <w:rFonts w:ascii="Calibri" w:cs="Calibri" w:eastAsia="Calibri" w:hAnsi="Calibri"/>
                <w:b/>
                <w:bCs/>
                <w:color w:val="FFFFFF"/>
                <w:sz w:val="18"/>
                <w:szCs w:val="18"/>
              </w:rPr>
              <w:t xml:space="preserve">Milestone</w:t>
            </w:r>
          </w:p>
        </w:tc>
        <w:tc>
          <w:tcPr>
            <w:tcW w:type="dxa" w:w="5760"/>
            <w:tcBorders>
              <w:top w:val="single" w:color="D5D8DC" w:sz="1"/>
              <w:left w:val="single" w:color="D5D8DC" w:sz="1"/>
              <w:bottom w:val="single" w:color="D5D8DC" w:sz="1"/>
              <w:right w:val="single" w:color="D5D8DC" w:sz="1"/>
            </w:tcBorders>
            <w:shd w:fill="0C2340" w:val="clear"/>
            <w:tcMar>
              <w:top w:type="dxa" w:w="80"/>
              <w:left w:type="dxa" w:w="140"/>
              <w:bottom w:type="dxa" w:w="80"/>
              <w:right w:type="dxa" w:w="140"/>
            </w:tcMar>
          </w:tcPr>
          <w:p>
            <w:r>
              <w:rPr>
                <w:rFonts w:ascii="Calibri" w:cs="Calibri" w:eastAsia="Calibri" w:hAnsi="Calibri"/>
                <w:b/>
                <w:bCs/>
                <w:color w:val="FFFFFF"/>
                <w:sz w:val="18"/>
                <w:szCs w:val="18"/>
              </w:rPr>
              <w:t xml:space="preserve">What’s Live</w:t>
            </w:r>
          </w:p>
        </w:tc>
      </w:tr>
      <w:tr>
        <w:tc>
          <w:tcPr>
            <w:tcW w:type="dxa" w:w="120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Week 4</w:t>
            </w:r>
          </w:p>
        </w:tc>
        <w:tc>
          <w:tcPr>
            <w:tcW w:type="dxa" w:w="240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Patients enrolled</w:t>
            </w:r>
          </w:p>
        </w:tc>
        <w:tc>
          <w:tcPr>
            <w:tcW w:type="dxa" w:w="576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Tier -1 operational. Intake + check-in + meal test flows. FHIR Observations flowing. KB-4 safety checks active.</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Week 8</w:t>
            </w:r>
          </w:p>
        </w:tc>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Physicians reviewing</w:t>
            </w:r>
          </w:p>
        </w:tc>
        <w:tc>
          <w:tcPr>
            <w:tcW w:type="dxa" w:w="57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KB-20 trajectories. KB-21 adherence. KB-23 Decision Cards in v3 UI. First 10 Differential Trees authored and validated.</w:t>
            </w:r>
          </w:p>
        </w:tc>
      </w:tr>
      <w:tr>
        <w:tc>
          <w:tcPr>
            <w:tcW w:type="dxa" w:w="120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Week 12</w:t>
            </w:r>
          </w:p>
        </w:tc>
        <w:tc>
          <w:tcPr>
            <w:tcW w:type="dxa" w:w="240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HPI live</w:t>
            </w:r>
          </w:p>
        </w:tc>
        <w:tc>
          <w:tcPr>
            <w:tcW w:type="dxa" w:w="576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KB-22 running with 10 nodes. Real HPI interactions. Differential reports reaching physicians. Validation data accumulating.</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Week 16</w:t>
            </w:r>
          </w:p>
        </w:tc>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Full product</w:t>
            </w:r>
          </w:p>
        </w:tc>
        <w:tc>
          <w:tcPr>
            <w:tcW w:type="dxa" w:w="57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35 nodes validated. Medication review cards live. All v3 KB fallbacks removed. Full Correction Loop operating as v3 extensions.</w:t>
            </w:r>
          </w:p>
        </w:tc>
      </w:tr>
    </w:tbl>
    <w:p>
      <w:r>
        <w:br w:type="page"/>
      </w:r>
    </w:p>
    <w:p>
      <w:pPr>
        <w:pStyle w:val="Heading1"/>
        <w:spacing w:before="360" w:after="200"/>
      </w:pPr>
      <w:r>
        <w:rPr>
          <w:rFonts w:ascii="Georgia" w:cs="Georgia" w:eastAsia="Georgia" w:hAnsi="Georgia"/>
          <w:b/>
          <w:bCs/>
          <w:color w:val="0C2340"/>
          <w:sz w:val="32"/>
          <w:szCs w:val="32"/>
        </w:rPr>
        <w:t xml:space="preserve">11. The Clinical Spectrum: One Engine, Three Intensities</w:t>
      </w:r>
    </w:p>
    <w:p>
      <w:pPr>
        <w:spacing w:after="160" w:line="320"/>
      </w:pPr>
      <w:r>
        <w:rPr>
          <w:rFonts w:ascii="Calibri" w:cs="Calibri" w:eastAsia="Calibri" w:hAnsi="Calibri"/>
          <w:color w:val="333333"/>
          <w:sz w:val="22"/>
          <w:szCs w:val="22"/>
        </w:rPr>
        <w:t xml:space="preserve">The correction loop is not three products. It is three intensities of the same engine, activated by patient stratum: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4680"/>
      </w:tblGrid>
      <w:tr>
        <w:tc>
          <w:tcPr>
            <w:tcW w:type="dxa" w:w="2000"/>
            <w:tcBorders>
              <w:top w:val="single" w:color="D5D8DC" w:sz="1"/>
              <w:left w:val="single" w:color="D5D8DC" w:sz="1"/>
              <w:bottom w:val="single" w:color="D5D8DC" w:sz="1"/>
              <w:right w:val="single" w:color="D5D8DC" w:sz="1"/>
            </w:tcBorders>
            <w:shd w:fill="0C2340" w:val="clear"/>
            <w:tcMar>
              <w:top w:type="dxa" w:w="80"/>
              <w:left w:type="dxa" w:w="140"/>
              <w:bottom w:type="dxa" w:w="80"/>
              <w:right w:type="dxa" w:w="140"/>
            </w:tcMar>
          </w:tcPr>
          <w:p>
            <w:r>
              <w:rPr>
                <w:rFonts w:ascii="Calibri" w:cs="Calibri" w:eastAsia="Calibri" w:hAnsi="Calibri"/>
                <w:b/>
                <w:bCs/>
                <w:color w:val="FFFFFF"/>
                <w:sz w:val="18"/>
                <w:szCs w:val="18"/>
              </w:rPr>
              <w:t xml:space="preserve">Intensity</w:t>
            </w:r>
          </w:p>
        </w:tc>
        <w:tc>
          <w:tcPr>
            <w:tcW w:type="dxa" w:w="2680"/>
            <w:tcBorders>
              <w:top w:val="single" w:color="D5D8DC" w:sz="1"/>
              <w:left w:val="single" w:color="D5D8DC" w:sz="1"/>
              <w:bottom w:val="single" w:color="D5D8DC" w:sz="1"/>
              <w:right w:val="single" w:color="D5D8DC" w:sz="1"/>
            </w:tcBorders>
            <w:shd w:fill="0C2340" w:val="clear"/>
            <w:tcMar>
              <w:top w:type="dxa" w:w="80"/>
              <w:left w:type="dxa" w:w="140"/>
              <w:bottom w:type="dxa" w:w="80"/>
              <w:right w:type="dxa" w:w="140"/>
            </w:tcMar>
          </w:tcPr>
          <w:p>
            <w:r>
              <w:rPr>
                <w:rFonts w:ascii="Calibri" w:cs="Calibri" w:eastAsia="Calibri" w:hAnsi="Calibri"/>
                <w:b/>
                <w:bCs/>
                <w:color w:val="FFFFFF"/>
                <w:sz w:val="18"/>
                <w:szCs w:val="18"/>
              </w:rPr>
              <w:t xml:space="preserve">Patient Profile</w:t>
            </w:r>
          </w:p>
        </w:tc>
        <w:tc>
          <w:tcPr>
            <w:tcW w:type="dxa" w:w="4680"/>
            <w:tcBorders>
              <w:top w:val="single" w:color="D5D8DC" w:sz="1"/>
              <w:left w:val="single" w:color="D5D8DC" w:sz="1"/>
              <w:bottom w:val="single" w:color="D5D8DC" w:sz="1"/>
              <w:right w:val="single" w:color="D5D8DC" w:sz="1"/>
            </w:tcBorders>
            <w:shd w:fill="0C2340" w:val="clear"/>
            <w:tcMar>
              <w:top w:type="dxa" w:w="80"/>
              <w:left w:type="dxa" w:w="140"/>
              <w:bottom w:type="dxa" w:w="80"/>
              <w:right w:type="dxa" w:w="140"/>
            </w:tcMar>
          </w:tcPr>
          <w:p>
            <w:r>
              <w:rPr>
                <w:rFonts w:ascii="Calibri" w:cs="Calibri" w:eastAsia="Calibri" w:hAnsi="Calibri"/>
                <w:b/>
                <w:bCs/>
                <w:color w:val="FFFFFF"/>
                <w:sz w:val="18"/>
                <w:szCs w:val="18"/>
              </w:rPr>
              <w:t xml:space="preserve">What the Engine Does</w:t>
            </w:r>
          </w:p>
        </w:tc>
      </w:tr>
      <w:tr>
        <w:tc>
          <w:tcPr>
            <w:tcW w:type="dxa" w:w="200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Diet Titration (M3 primary)</w:t>
            </w:r>
          </w:p>
        </w:tc>
        <w:tc>
          <w:tcPr>
            <w:tcW w:type="dxa" w:w="268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Pre-diabetic, HbA1c 5.7–6.4. No medications or metformin only. Low risk.</w:t>
            </w:r>
          </w:p>
        </w:tc>
        <w:tc>
          <w:tcPr>
            <w:tcW w:type="dxa" w:w="468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Structured meal testing. Substitution ladder. Protein restoration. Progressive resistance. Biweekly check-ins. 90-day cycle. Green routing (pharmacist batch review). The goal is reversal without escalation.</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Medication Review + Deprescribing (M2 + M5 primary)</w:t>
            </w:r>
          </w:p>
        </w:tc>
        <w:tc>
          <w:tcPr>
            <w:tcW w:type="dxa" w:w="26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Established T2DM, HbA1c 6.5–8.5. On OHAs. Medium risk.</w:t>
            </w:r>
          </w:p>
        </w:tc>
        <w:tc>
          <w:tcPr>
            <w:tcW w:type="dxa" w:w="46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All of diet titration PLUS: medication appropriateness review, deprescribing signals (FBG &lt;110 on SU → propose dose reduction), dual-axis reasoning (glycemic + BP). Yellow routing (physician review within SLA). The goal is optimal pharmacotherapy with minimum medication burden.</w:t>
            </w:r>
          </w:p>
        </w:tc>
      </w:tr>
      <w:tr>
        <w:tc>
          <w:tcPr>
            <w:tcW w:type="dxa" w:w="200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Insulin Optimization (V-MCU, v2)</w:t>
            </w:r>
          </w:p>
        </w:tc>
        <w:tc>
          <w:tcPr>
            <w:tcW w:type="dxa" w:w="268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T2DM on basal or basal-bolus. HbA1c &gt;8.0 or insulin-dependent. High risk.</w:t>
            </w:r>
          </w:p>
        </w:tc>
        <w:tc>
          <w:tcPr>
            <w:tcW w:type="dxa" w:w="4680"/>
            <w:tcBorders>
              <w:top w:val="single" w:color="D5D8DC" w:sz="1"/>
              <w:left w:val="single" w:color="D5D8DC" w:sz="1"/>
              <w:bottom w:val="single" w:color="D5D8DC" w:sz="1"/>
              <w:right w:val="single" w:color="D5D8DC" w:sz="1"/>
            </w:tcBorders>
            <w:shd w:fill="F2F4F4" w:val="clear"/>
            <w:tcMar>
              <w:top w:type="dxa" w:w="80"/>
              <w:left w:type="dxa" w:w="140"/>
              <w:bottom w:type="dxa" w:w="80"/>
              <w:right w:type="dxa" w:w="140"/>
            </w:tcMar>
          </w:tcPr>
          <w:p>
            <w:pPr>
              <w:spacing w:after="0" w:line="280"/>
            </w:pPr>
            <w:r>
              <w:rPr>
                <w:rFonts w:ascii="Calibri" w:cs="Calibri" w:eastAsia="Calibri" w:hAnsi="Calibri"/>
                <w:color w:val="444444"/>
                <w:sz w:val="18"/>
                <w:szCs w:val="18"/>
              </w:rPr>
              <w:t xml:space="preserve">All of medication review PLUS: basal titration engine (3–7 day cadence), bolus calculation (per-meal ICR/ISF), Safety Supervisor with renal/electrolyte/interaction checking. Red routing (physician-only). The goal is time-in-range with minimum insulin.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60"/>
              <w:left w:type="dxa" w:w="240"/>
              <w:bottom w:type="dxa" w:w="160"/>
              <w:right w:type="dxa" w:w="240"/>
            </w:tcMar>
          </w:tcPr>
          <w:p>
            <w:pPr>
              <w:spacing w:after="0" w:line="320"/>
            </w:pPr>
            <w:r>
              <w:rPr>
                <w:rFonts w:ascii="Calibri" w:cs="Calibri" w:eastAsia="Calibri" w:hAnsi="Calibri"/>
                <w:color w:val="333333"/>
                <w:sz w:val="22"/>
                <w:szCs w:val="22"/>
              </w:rPr>
              <w:t xml:space="preserve">These are different control surfaces on the same metabolic engine. They share the same intake (M0/Tier -1), the same metabolic graph (KB-20), the same safety architecture (KB-4 + M5 + M8), the same behavioral intelligence (KB-21), the same delivery layer (M6/Tier -1), and the same audit trail (KB-18). The buyer purchases metabolic disease management, not separate apps.</w:t>
            </w:r>
          </w:p>
        </w:tc>
      </w:tr>
    </w:tbl>
    <w:p>
      <w:r>
        <w:br w:type="page"/>
      </w:r>
    </w:p>
    <w:p>
      <w:pPr>
        <w:pStyle w:val="Heading1"/>
        <w:spacing w:before="360" w:after="200"/>
      </w:pPr>
      <w:r>
        <w:rPr>
          <w:rFonts w:ascii="Georgia" w:cs="Georgia" w:eastAsia="Georgia" w:hAnsi="Georgia"/>
          <w:b/>
          <w:bCs/>
          <w:color w:val="0C2340"/>
          <w:sz w:val="32"/>
          <w:szCs w:val="32"/>
        </w:rPr>
        <w:t xml:space="preserve">12. What This Is and What This Is Not</w:t>
      </w:r>
    </w:p>
    <w:p>
      <w:pPr>
        <w:pStyle w:val="Heading2"/>
        <w:spacing w:before="280" w:after="160"/>
      </w:pPr>
      <w:r>
        <w:rPr>
          <w:rFonts w:ascii="Georgia" w:cs="Georgia" w:eastAsia="Georgia" w:hAnsi="Georgia"/>
          <w:b/>
          <w:bCs/>
          <w:color w:val="1A5276"/>
          <w:sz w:val="26"/>
          <w:szCs w:val="26"/>
        </w:rPr>
        <w:t xml:space="preserve">12.1 What This Is</w:t>
      </w:r>
    </w:p>
    <w:p>
      <w:pPr>
        <w:pStyle w:val="ListParagraph"/>
        <w:numPr>
          <w:ilvl w:val="0"/>
          <w:numId w:val="9"/>
        </w:numPr>
        <w:spacing w:after="100" w:line="300"/>
      </w:pPr>
      <w:r>
        <w:rPr>
          <w:rFonts w:ascii="Calibri" w:cs="Calibri" w:eastAsia="Calibri" w:hAnsi="Calibri"/>
          <w:color w:val="444444"/>
          <w:sz w:val="20"/>
          <w:szCs w:val="20"/>
        </w:rPr>
        <w:t xml:space="preserve">A clinical-grade metabolic correction system where AI is infrastructure the care model demands, not a feature added for marketing.</w:t>
      </w:r>
    </w:p>
    <w:p>
      <w:pPr>
        <w:pStyle w:val="ListParagraph"/>
        <w:numPr>
          <w:ilvl w:val="0"/>
          <w:numId w:val="9"/>
        </w:numPr>
        <w:spacing w:after="100" w:line="300"/>
      </w:pPr>
      <w:r>
        <w:rPr>
          <w:rFonts w:ascii="Calibri" w:cs="Calibri" w:eastAsia="Calibri" w:hAnsi="Calibri"/>
          <w:color w:val="444444"/>
          <w:sz w:val="20"/>
          <w:szCs w:val="20"/>
        </w:rPr>
        <w:t xml:space="preserve">A metabolic operating system optimized for Indian and emerging markets.</w:t>
      </w:r>
    </w:p>
    <w:p>
      <w:pPr>
        <w:pStyle w:val="ListParagraph"/>
        <w:numPr>
          <w:ilvl w:val="0"/>
          <w:numId w:val="9"/>
        </w:numPr>
        <w:spacing w:after="100" w:line="300"/>
      </w:pPr>
      <w:r>
        <w:rPr>
          <w:rFonts w:ascii="Calibri" w:cs="Calibri" w:eastAsia="Calibri" w:hAnsi="Calibri"/>
          <w:color w:val="444444"/>
          <w:sz w:val="20"/>
          <w:szCs w:val="20"/>
        </w:rPr>
        <w:t xml:space="preserve">A hybrid between Virta Health (metabolic optimization), Epic CDS (clinical decision support), and a light artificial pancreas (closed-loop insulin), delivered through WhatsApp in Hindi.</w:t>
      </w:r>
    </w:p>
    <w:p>
      <w:pPr>
        <w:pStyle w:val="ListParagraph"/>
        <w:numPr>
          <w:ilvl w:val="0"/>
          <w:numId w:val="9"/>
        </w:numPr>
        <w:spacing w:after="100" w:line="300"/>
      </w:pPr>
      <w:r>
        <w:rPr>
          <w:rFonts w:ascii="Calibri" w:cs="Calibri" w:eastAsia="Calibri" w:hAnsi="Calibri"/>
          <w:color w:val="444444"/>
          <w:sz w:val="20"/>
          <w:szCs w:val="20"/>
        </w:rPr>
        <w:t xml:space="preserve">A system where every clinical decision is deterministic, guideline-cited, safety-supervised, and court-defensible.</w:t>
      </w:r>
    </w:p>
    <w:p>
      <w:pPr>
        <w:pStyle w:val="ListParagraph"/>
        <w:numPr>
          <w:ilvl w:val="0"/>
          <w:numId w:val="9"/>
        </w:numPr>
        <w:spacing w:after="100" w:line="300"/>
      </w:pPr>
      <w:r>
        <w:rPr>
          <w:rFonts w:ascii="Calibri" w:cs="Calibri" w:eastAsia="Calibri" w:hAnsi="Calibri"/>
          <w:color w:val="444444"/>
          <w:sz w:val="20"/>
          <w:szCs w:val="20"/>
        </w:rPr>
        <w:t xml:space="preserve">A 7-tier clinical decision support platform extended with 4 new KBs and 1 new tier, adding 0 changes to existing v3 code.</w:t>
      </w:r>
    </w:p>
    <w:p>
      <w:pPr>
        <w:pStyle w:val="Heading2"/>
        <w:spacing w:before="280" w:after="160"/>
      </w:pPr>
      <w:r>
        <w:rPr>
          <w:rFonts w:ascii="Georgia" w:cs="Georgia" w:eastAsia="Georgia" w:hAnsi="Georgia"/>
          <w:b/>
          <w:bCs/>
          <w:color w:val="1A5276"/>
          <w:sz w:val="26"/>
          <w:szCs w:val="26"/>
        </w:rPr>
        <w:t xml:space="preserve">12.2 What This Is Not</w:t>
      </w:r>
    </w:p>
    <w:p>
      <w:pPr>
        <w:pStyle w:val="ListParagraph"/>
        <w:numPr>
          <w:ilvl w:val="0"/>
          <w:numId w:val="10"/>
        </w:numPr>
        <w:spacing w:after="100" w:line="300"/>
      </w:pPr>
      <w:r>
        <w:rPr>
          <w:rFonts w:ascii="Calibri" w:cs="Calibri" w:eastAsia="Calibri" w:hAnsi="Calibri"/>
          <w:color w:val="444444"/>
          <w:sz w:val="20"/>
          <w:szCs w:val="20"/>
        </w:rPr>
        <w:t xml:space="preserve">Not a wellness app. No step counting, no calorie tracking, no gamified health scores.</w:t>
      </w:r>
    </w:p>
    <w:p>
      <w:pPr>
        <w:pStyle w:val="ListParagraph"/>
        <w:numPr>
          <w:ilvl w:val="0"/>
          <w:numId w:val="10"/>
        </w:numPr>
        <w:spacing w:after="100" w:line="300"/>
      </w:pPr>
      <w:r>
        <w:rPr>
          <w:rFonts w:ascii="Calibri" w:cs="Calibri" w:eastAsia="Calibri" w:hAnsi="Calibri"/>
          <w:color w:val="444444"/>
          <w:sz w:val="20"/>
          <w:szCs w:val="20"/>
        </w:rPr>
        <w:t xml:space="preserve">Not a telemedicine platform. Tele-consultation is an escalation path, not the product.</w:t>
      </w:r>
    </w:p>
    <w:p>
      <w:pPr>
        <w:pStyle w:val="ListParagraph"/>
        <w:numPr>
          <w:ilvl w:val="0"/>
          <w:numId w:val="10"/>
        </w:numPr>
        <w:spacing w:after="100" w:line="300"/>
      </w:pPr>
      <w:r>
        <w:rPr>
          <w:rFonts w:ascii="Calibri" w:cs="Calibri" w:eastAsia="Calibri" w:hAnsi="Calibri"/>
          <w:color w:val="444444"/>
          <w:sz w:val="20"/>
          <w:szCs w:val="20"/>
        </w:rPr>
        <w:t xml:space="preserve">Not an open-ended chatbot. Structured questions, structured responses, deterministic clinical logic.</w:t>
      </w:r>
    </w:p>
    <w:p>
      <w:pPr>
        <w:pStyle w:val="ListParagraph"/>
        <w:numPr>
          <w:ilvl w:val="0"/>
          <w:numId w:val="10"/>
        </w:numPr>
        <w:spacing w:after="100" w:line="300"/>
      </w:pPr>
      <w:r>
        <w:rPr>
          <w:rFonts w:ascii="Calibri" w:cs="Calibri" w:eastAsia="Calibri" w:hAnsi="Calibri"/>
          <w:color w:val="444444"/>
          <w:sz w:val="20"/>
          <w:szCs w:val="20"/>
        </w:rPr>
        <w:t xml:space="preserve">Not a CGM-dependent product. Uses ₹30 glucometer strips and ₹300–500 lab HbA1c.</w:t>
      </w:r>
    </w:p>
    <w:p>
      <w:pPr>
        <w:pStyle w:val="ListParagraph"/>
        <w:numPr>
          <w:ilvl w:val="0"/>
          <w:numId w:val="10"/>
        </w:numPr>
        <w:spacing w:after="100" w:line="300"/>
      </w:pPr>
      <w:r>
        <w:rPr>
          <w:rFonts w:ascii="Calibri" w:cs="Calibri" w:eastAsia="Calibri" w:hAnsi="Calibri"/>
          <w:color w:val="444444"/>
          <w:sz w:val="20"/>
          <w:szCs w:val="20"/>
        </w:rPr>
        <w:t xml:space="preserve">Not an autonomous prescriber. The system makes decisions easier for physicians. It never makes autonomous medication changes.</w:t>
      </w:r>
    </w:p>
    <w:p>
      <w:pPr>
        <w:spacing w:after="120"/>
      </w:pPr>
    </w:p>
    <w:p>
      <w:pPr>
        <w:spacing w:after="120"/>
      </w:pPr>
    </w:p>
    <w:p>
      <w:pPr>
        <w:pBdr>
          <w:top w:val="single" w:color="0C2340" w:sz="4" w:space="12"/>
        </w:pBdr>
        <w:spacing w:before="480" w:after="120"/>
        <w:jc w:val="center"/>
      </w:pPr>
      <w:r>
        <w:rPr>
          <w:rFonts w:ascii="Calibri" w:cs="Calibri" w:eastAsia="Calibri" w:hAnsi="Calibri"/>
          <w:color w:val="5D6D7E"/>
          <w:sz w:val="20"/>
          <w:szCs w:val="20"/>
        </w:rPr>
        <w:t xml:space="preserve">End of Document</w:t>
      </w:r>
    </w:p>
    <w:p>
      <w:pPr>
        <w:spacing w:after="0"/>
        <w:jc w:val="center"/>
      </w:pPr>
      <w:r>
        <w:rPr>
          <w:rFonts w:ascii="Calibri" w:cs="Calibri" w:eastAsia="Calibri" w:hAnsi="Calibri"/>
          <w:i/>
          <w:iCs/>
          <w:color w:val="5D6D7E"/>
          <w:sz w:val="18"/>
          <w:szCs w:val="18"/>
        </w:rPr>
        <w:t xml:space="preserve">Vaidshala Metabolic Correction Loop — Complete Product Architecture — 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2" w:space="4"/>
      </w:pBdr>
      <w:tabs>
        <w:tab w:val="right" w:pos="9026"/>
      </w:tabs>
    </w:pPr>
    <w:r>
      <w:rPr>
        <w:rFonts w:ascii="Calibri" w:cs="Calibri" w:eastAsia="Calibri" w:hAnsi="Calibri"/>
        <w:color w:val="5D6D7E"/>
        <w:sz w:val="16"/>
        <w:szCs w:val="16"/>
      </w:rPr>
      <w:t xml:space="preserve">Confidential — February 2026</w:t>
    </w:r>
    <w:r>
      <w:rPr>
        <w:rFonts w:ascii="Calibri" w:cs="Calibri" w:eastAsia="Calibri" w:hAnsi="Calibri"/>
        <w:color w:val="5D6D7E"/>
        <w:sz w:val="16"/>
        <w:szCs w:val="16"/>
      </w:rPr>
      <w:t xml:space="preserve">	Page </w:t>
    </w:r>
    <w:r>
      <w:rPr>
        <w:rFonts w:ascii="Calibri" w:cs="Calibri" w:eastAsia="Calibri" w:hAnsi="Calibri"/>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8DC" w:sz="2" w:space="4"/>
      </w:pBdr>
      <w:tabs>
        <w:tab w:val="right" w:pos="9026"/>
      </w:tabs>
    </w:pPr>
    <w:r>
      <w:rPr>
        <w:rFonts w:ascii="Georgia" w:cs="Georgia" w:eastAsia="Georgia" w:hAnsi="Georgia"/>
        <w:b/>
        <w:bCs/>
        <w:color w:val="5D6D7E"/>
        <w:sz w:val="16"/>
        <w:szCs w:val="16"/>
      </w:rPr>
      <w:t xml:space="preserve">VAIDSHALA</w:t>
    </w:r>
    <w:r>
      <w:rPr>
        <w:rFonts w:ascii="Calibri" w:cs="Calibri" w:eastAsia="Calibri" w:hAnsi="Calibri"/>
        <w:i/>
        <w:iCs/>
        <w:color w:val="5D6D7E"/>
        <w:sz w:val="16"/>
        <w:szCs w:val="16"/>
      </w:rPr>
      <w:t xml:space="preserve">	The Metabolic Correction Loop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10"/>
    <w:lvlOverride w:ilvl="0">
      <w:startOverride w:val="1"/>
    </w:lvlOverride>
  </w:num>
  <w:num w:numId="7">
    <w:abstractNumId w:val="11"/>
    <w:lvlOverride w:ilvl="0">
      <w:startOverride w:val="1"/>
    </w:lvlOverride>
  </w:num>
  <w:num w:numId="8">
    <w:abstractNumId w:val="6"/>
    <w:lvlOverride w:ilvl="0">
      <w:startOverride w:val="1"/>
    </w:lvlOverride>
  </w:num>
  <w:num w:numId="9">
    <w:abstractNumId w:val="7"/>
    <w:lvlOverride w:ilvl="0">
      <w:startOverride w:val="1"/>
    </w:lvlOverride>
  </w:num>
  <w:num w:numId="10">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0C2340"/>
      <w:sz w:val="32"/>
      <w:szCs w:val="32"/>
    </w:rPr>
  </w:style>
  <w:style w:type="paragraph" w:styleId="Heading2">
    <w:name w:val="Heading 2"/>
    <w:basedOn w:val="Normal"/>
    <w:next w:val="Normal"/>
    <w:qFormat/>
    <w:pPr>
      <w:spacing w:before="280" w:after="160"/>
      <w:outlineLvl w:val="1"/>
    </w:pPr>
    <w:rPr>
      <w:rFonts w:ascii="Georgia" w:cs="Georgia" w:eastAsia="Georgia" w:hAnsi="Georgia"/>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2026-02-22T17:29:46.674Z</dcterms:created>
  <dcterms:modified xsi:type="dcterms:W3CDTF">2026-02-22T17:29:46.675Z</dcterms:modified>
</cp:coreProperties>
</file>

<file path=docProps/custom.xml><?xml version="1.0" encoding="utf-8"?>
<Properties xmlns="http://schemas.openxmlformats.org/officeDocument/2006/custom-properties" xmlns:vt="http://schemas.openxmlformats.org/officeDocument/2006/docPropsVTypes"/>
</file>